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CENTAR ZA PRUŽANJE USLUGA U ZAJEDNICI TIĆ RIJEKA</w:t>
      </w:r>
    </w:p>
    <w:p>
      <w:pPr>
        <w:rPr>
          <w:b/>
        </w:rPr>
      </w:pPr>
      <w:r>
        <w:rPr>
          <w:b/>
        </w:rPr>
        <w:t>Beli kamik 11</w:t>
      </w:r>
    </w:p>
    <w:p>
      <w:pPr>
        <w:rPr>
          <w:b/>
        </w:rPr>
      </w:pPr>
      <w:r>
        <w:rPr>
          <w:b/>
        </w:rPr>
        <w:t xml:space="preserve">51 000 Rijeka </w:t>
      </w:r>
    </w:p>
    <w:p>
      <w:pPr>
        <w:rPr>
          <w:b/>
        </w:rPr>
      </w:pPr>
      <w:r>
        <w:rPr>
          <w:b/>
        </w:rPr>
        <w:t xml:space="preserve"> </w:t>
      </w:r>
    </w:p>
    <w:p>
      <w:pPr>
        <w:rPr>
          <w:bCs/>
          <w:iCs/>
        </w:rPr>
      </w:pPr>
      <w:r>
        <w:t>KLASA: 112-01/24-01/3</w:t>
      </w:r>
    </w:p>
    <w:p>
      <w:r>
        <w:rPr>
          <w:bCs/>
          <w:iCs/>
        </w:rPr>
        <w:t xml:space="preserve">URBROJ: </w:t>
      </w:r>
      <w:r>
        <w:rPr>
          <w:iCs/>
        </w:rPr>
        <w:t xml:space="preserve"> 2170-1-26-24-1</w:t>
      </w:r>
    </w:p>
    <w:p>
      <w:pPr>
        <w:rPr>
          <w:b/>
        </w:rPr>
      </w:pPr>
      <w:r>
        <w:t>Rijeka, 29.04.2024.</w:t>
      </w:r>
    </w:p>
    <w:p>
      <w:r>
        <w:t xml:space="preserve"> </w:t>
      </w:r>
    </w:p>
    <w:p>
      <w:r>
        <w:t xml:space="preserve">Na temelju članka 6. Pravilnika o radu Centra za pružanje usluga u zajednici Tić Rijeka, ravnatelj Centra, raspisuje  </w:t>
      </w:r>
    </w:p>
    <w:p>
      <w:pPr>
        <w:jc w:val="center"/>
        <w:rPr>
          <w:b/>
        </w:rPr>
      </w:pPr>
      <w:r>
        <w:rPr>
          <w:b/>
        </w:rPr>
        <w:t>N A T J E Č A J</w:t>
      </w:r>
    </w:p>
    <w:p>
      <w:pPr>
        <w:jc w:val="center"/>
        <w:rPr>
          <w:b/>
        </w:rPr>
      </w:pPr>
      <w:r>
        <w:rPr>
          <w:b/>
        </w:rPr>
        <w:t>za prijam u radni odnos na neodređeno vrijeme na radn</w:t>
      </w:r>
      <w:r>
        <w:rPr>
          <w:rFonts w:hint="default"/>
          <w:b/>
          <w:lang w:val="hr-HR"/>
        </w:rPr>
        <w:t>o</w:t>
      </w:r>
      <w:r>
        <w:rPr>
          <w:b/>
        </w:rPr>
        <w:t xml:space="preserve"> mjest</w:t>
      </w:r>
      <w:r>
        <w:rPr>
          <w:rFonts w:hint="default"/>
          <w:b/>
          <w:lang w:val="hr-HR"/>
        </w:rPr>
        <w:t>o</w:t>
      </w:r>
      <w:r>
        <w:rPr>
          <w:b/>
        </w:rPr>
        <w:t>:</w:t>
      </w:r>
    </w:p>
    <w:p>
      <w:pPr>
        <w:rPr>
          <w:b/>
        </w:rPr>
      </w:pPr>
      <w:r>
        <w:rPr>
          <w:b/>
        </w:rPr>
        <w:t xml:space="preserve"> </w:t>
      </w:r>
    </w:p>
    <w:p>
      <w:pPr>
        <w:jc w:val="center"/>
        <w:rPr>
          <w:rFonts w:ascii="Arial" w:hAnsi="Arial" w:cs="Arial"/>
          <w:b/>
          <w:sz w:val="22"/>
          <w:szCs w:val="22"/>
        </w:rPr>
      </w:pPr>
      <w:r>
        <w:rPr>
          <w:rFonts w:ascii="Arial" w:hAnsi="Arial" w:cs="Arial"/>
          <w:b/>
          <w:sz w:val="22"/>
          <w:szCs w:val="22"/>
        </w:rPr>
        <w:t>OD</w:t>
      </w:r>
      <w:r>
        <w:rPr>
          <w:rFonts w:hint="default" w:ascii="Arial" w:hAnsi="Arial" w:cs="Arial"/>
          <w:b/>
          <w:sz w:val="22"/>
          <w:szCs w:val="22"/>
          <w:lang w:val="hr-HR"/>
        </w:rPr>
        <w:t>G</w:t>
      </w:r>
      <w:r>
        <w:rPr>
          <w:rFonts w:ascii="Arial" w:hAnsi="Arial" w:cs="Arial"/>
          <w:b/>
          <w:sz w:val="22"/>
          <w:szCs w:val="22"/>
        </w:rPr>
        <w:t>A</w:t>
      </w:r>
      <w:bookmarkStart w:id="0" w:name="_GoBack"/>
      <w:bookmarkEnd w:id="0"/>
      <w:r>
        <w:rPr>
          <w:rFonts w:ascii="Arial" w:hAnsi="Arial" w:cs="Arial"/>
          <w:b/>
          <w:sz w:val="22"/>
          <w:szCs w:val="22"/>
        </w:rPr>
        <w:t>JATELJ (1 izvršitelj/ica, uz probni rad u trajanju od tri mjeseca)</w:t>
      </w:r>
    </w:p>
    <w:p>
      <w:pPr>
        <w:keepNext/>
        <w:jc w:val="both"/>
        <w:outlineLvl w:val="4"/>
        <w:rPr>
          <w:rFonts w:ascii="Arial" w:hAnsi="Arial" w:cs="Arial"/>
          <w:sz w:val="22"/>
          <w:szCs w:val="22"/>
          <w:lang w:val="zh-CN" w:eastAsia="zh-CN"/>
        </w:rPr>
      </w:pPr>
      <w:r>
        <w:rPr>
          <w:rFonts w:ascii="Arial" w:hAnsi="Arial" w:cs="Arial"/>
          <w:sz w:val="22"/>
          <w:szCs w:val="22"/>
          <w:lang w:val="zh-CN" w:eastAsia="zh-CN"/>
        </w:rPr>
        <w:t xml:space="preserve">Uvjeti radnog mjesta: </w:t>
      </w:r>
    </w:p>
    <w:p>
      <w:pPr>
        <w:pStyle w:val="5"/>
        <w:numPr>
          <w:ilvl w:val="0"/>
          <w:numId w:val="1"/>
        </w:numPr>
        <w:jc w:val="both"/>
        <w:rPr>
          <w:rFonts w:ascii="Arial" w:hAnsi="Arial" w:cs="Arial"/>
          <w:sz w:val="22"/>
          <w:szCs w:val="22"/>
        </w:rPr>
      </w:pPr>
      <w:r>
        <w:rPr>
          <w:rFonts w:ascii="Arial" w:hAnsi="Arial" w:cs="Arial"/>
          <w:sz w:val="22"/>
          <w:szCs w:val="22"/>
        </w:rPr>
        <w:t xml:space="preserve">završen specijalistički diplomski stručni studij ili preddiplomski i/ili diplomski stručni  studij ili preddiplomski i/ili diplomski sveučilišni  studij socijalnog rada, socijalne politike, psihologije, socijalne pedagogije, edukacijske rehabilitacije, logopedije, sociologije, filozofije, kineziologije, pedagogije, politologije, fonetike, teologije, ranog i predškolskog odgoja i obrazovanja, radne terapije ili završen studij  odgovarajuće vrste za rad na radnom mjestu učitelja ili nastavnika  u Republici Hrvatskoj ili ima priznatu inozemnu stručnu kvalifikaciju za obavljanje regulirane profesije u skladu s propisima kojima se regulira djelatnost socijalnog rada i odobrenje za rad nadležne komore, odnosno za neregulirane profesije priznatu inozemnu stručnu kvalifikaciju u skladu s propisima kojima se uređuje način i postupci vrednovanja inozemnih obrazovnih kvalifikacija </w:t>
      </w:r>
    </w:p>
    <w:p>
      <w:pPr>
        <w:pStyle w:val="5"/>
        <w:numPr>
          <w:ilvl w:val="0"/>
          <w:numId w:val="1"/>
        </w:numPr>
        <w:jc w:val="both"/>
        <w:rPr>
          <w:rFonts w:ascii="Arial" w:hAnsi="Arial" w:cs="Arial"/>
          <w:sz w:val="22"/>
          <w:szCs w:val="22"/>
        </w:rPr>
      </w:pPr>
      <w:r>
        <w:rPr>
          <w:rFonts w:ascii="Arial" w:hAnsi="Arial" w:cs="Arial"/>
          <w:sz w:val="22"/>
          <w:szCs w:val="22"/>
        </w:rPr>
        <w:t>položen stručni ispit</w:t>
      </w:r>
    </w:p>
    <w:p>
      <w:pPr>
        <w:pStyle w:val="5"/>
        <w:numPr>
          <w:ilvl w:val="0"/>
          <w:numId w:val="0"/>
        </w:numPr>
        <w:ind w:left="360" w:leftChars="0"/>
        <w:jc w:val="both"/>
        <w:rPr>
          <w:rFonts w:ascii="Arial" w:hAnsi="Arial" w:cs="Arial"/>
          <w:sz w:val="22"/>
          <w:szCs w:val="22"/>
        </w:rPr>
      </w:pPr>
    </w:p>
    <w:p>
      <w:pPr>
        <w:jc w:val="both"/>
        <w:rPr>
          <w:rFonts w:ascii="Arial" w:hAnsi="Arial" w:cs="Arial"/>
          <w:sz w:val="22"/>
          <w:szCs w:val="22"/>
        </w:rPr>
      </w:pPr>
      <w:r>
        <w:rPr>
          <w:rFonts w:ascii="Arial" w:hAnsi="Arial" w:cs="Arial"/>
          <w:sz w:val="22"/>
          <w:szCs w:val="22"/>
        </w:rPr>
        <w:t>Na natječaj se mogu javiti osobe oba spola.</w:t>
      </w:r>
    </w:p>
    <w:p>
      <w:pPr>
        <w:tabs>
          <w:tab w:val="center" w:pos="4536"/>
          <w:tab w:val="right"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Izrazi koji se koriste u ovom tekstu natječaja, a imaju rodno značenje, odnose se jednako na muški i ženski rod.</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Kandida</w:t>
      </w:r>
      <w:r>
        <w:rPr>
          <w:rFonts w:hint="default" w:ascii="Arial" w:hAnsi="Arial" w:cs="Arial"/>
          <w:sz w:val="22"/>
          <w:szCs w:val="22"/>
          <w:lang w:val="hr-HR"/>
        </w:rPr>
        <w:t>t je</w:t>
      </w:r>
      <w:r>
        <w:rPr>
          <w:rFonts w:ascii="Arial" w:hAnsi="Arial" w:cs="Arial"/>
          <w:sz w:val="22"/>
          <w:szCs w:val="22"/>
        </w:rPr>
        <w:t>, uz prijavu na natječaj, obvez</w:t>
      </w:r>
      <w:r>
        <w:rPr>
          <w:rFonts w:hint="default" w:ascii="Arial" w:hAnsi="Arial" w:cs="Arial"/>
          <w:sz w:val="22"/>
          <w:szCs w:val="22"/>
          <w:lang w:val="hr-HR"/>
        </w:rPr>
        <w:t xml:space="preserve">an </w:t>
      </w:r>
      <w:r>
        <w:rPr>
          <w:rFonts w:ascii="Arial" w:hAnsi="Arial" w:cs="Arial"/>
          <w:sz w:val="22"/>
          <w:szCs w:val="22"/>
        </w:rPr>
        <w:t xml:space="preserve">priložiti dokaze o ispunjavanju uvjeta iz natječaja:  </w:t>
      </w:r>
    </w:p>
    <w:p>
      <w:pPr>
        <w:numPr>
          <w:ilvl w:val="0"/>
          <w:numId w:val="2"/>
        </w:numPr>
        <w:jc w:val="both"/>
        <w:rPr>
          <w:rFonts w:ascii="Arial" w:hAnsi="Arial" w:cs="Arial"/>
          <w:sz w:val="22"/>
          <w:szCs w:val="22"/>
        </w:rPr>
      </w:pPr>
      <w:r>
        <w:rPr>
          <w:rFonts w:ascii="Arial" w:hAnsi="Arial" w:cs="Arial"/>
          <w:sz w:val="22"/>
          <w:szCs w:val="22"/>
        </w:rPr>
        <w:t xml:space="preserve">životopis, </w:t>
      </w:r>
    </w:p>
    <w:p>
      <w:pPr>
        <w:numPr>
          <w:ilvl w:val="0"/>
          <w:numId w:val="2"/>
        </w:numPr>
        <w:jc w:val="both"/>
        <w:rPr>
          <w:rFonts w:ascii="Arial" w:hAnsi="Arial" w:cs="Arial"/>
          <w:sz w:val="22"/>
          <w:szCs w:val="22"/>
        </w:rPr>
      </w:pPr>
      <w:r>
        <w:rPr>
          <w:rFonts w:ascii="Arial" w:hAnsi="Arial" w:cs="Arial"/>
          <w:sz w:val="22"/>
          <w:szCs w:val="22"/>
        </w:rPr>
        <w:t xml:space="preserve">dokaz o hrvatskom državljanstvu (preslika osobne iskaznice ili domovnice), </w:t>
      </w:r>
    </w:p>
    <w:p>
      <w:pPr>
        <w:numPr>
          <w:ilvl w:val="0"/>
          <w:numId w:val="2"/>
        </w:numPr>
        <w:jc w:val="both"/>
        <w:rPr>
          <w:rFonts w:ascii="Arial" w:hAnsi="Arial" w:cs="Arial"/>
          <w:sz w:val="22"/>
          <w:szCs w:val="22"/>
        </w:rPr>
      </w:pPr>
      <w:r>
        <w:rPr>
          <w:rFonts w:ascii="Arial" w:hAnsi="Arial" w:cs="Arial"/>
          <w:sz w:val="22"/>
          <w:szCs w:val="22"/>
        </w:rPr>
        <w:t xml:space="preserve">dokaz o stručnoj spremi (preslika diplome odnosno svjedodžbe),  </w:t>
      </w:r>
    </w:p>
    <w:p>
      <w:pPr>
        <w:numPr>
          <w:ilvl w:val="0"/>
          <w:numId w:val="2"/>
        </w:numPr>
        <w:jc w:val="both"/>
        <w:rPr>
          <w:rFonts w:ascii="Arial" w:hAnsi="Arial" w:cs="Arial"/>
          <w:sz w:val="22"/>
          <w:szCs w:val="22"/>
        </w:rPr>
      </w:pPr>
      <w:r>
        <w:rPr>
          <w:rFonts w:ascii="Arial" w:hAnsi="Arial" w:cs="Arial"/>
          <w:sz w:val="22"/>
          <w:szCs w:val="22"/>
        </w:rPr>
        <w:t>dokaz o ukupnom radnom iskustvu (ispis elektroničkog zapisa o radno pravnom statusu /                              e-radna knjižica koja se vodi pri Hrvatskom zavodu za mirovinsko osiguranje)</w:t>
      </w:r>
    </w:p>
    <w:p>
      <w:pPr>
        <w:numPr>
          <w:ilvl w:val="0"/>
          <w:numId w:val="2"/>
        </w:numPr>
        <w:jc w:val="both"/>
        <w:rPr>
          <w:rFonts w:ascii="Arial" w:hAnsi="Arial" w:cs="Arial"/>
          <w:sz w:val="22"/>
          <w:szCs w:val="22"/>
        </w:rPr>
      </w:pPr>
      <w:r>
        <w:rPr>
          <w:rFonts w:ascii="Arial" w:hAnsi="Arial" w:cs="Arial"/>
          <w:sz w:val="22"/>
          <w:szCs w:val="22"/>
        </w:rPr>
        <w:t>dokaz o položenom stručnom ispitu (preslika potvrde o položenom stručnom ispitu – ukoliko je primjenjivo).</w:t>
      </w:r>
    </w:p>
    <w:p>
      <w:pPr>
        <w:tabs>
          <w:tab w:val="center" w:pos="4536"/>
          <w:tab w:val="right" w:pos="9072"/>
        </w:tabs>
        <w:overflowPunct w:val="0"/>
        <w:autoSpaceDE w:val="0"/>
        <w:autoSpaceDN w:val="0"/>
        <w:adjustRightInd w:val="0"/>
        <w:jc w:val="both"/>
        <w:textAlignment w:val="baseline"/>
        <w:rPr>
          <w:rFonts w:ascii="Arial" w:hAnsi="Arial" w:cs="Arial"/>
          <w:sz w:val="22"/>
          <w:szCs w:val="22"/>
        </w:rPr>
      </w:pPr>
    </w:p>
    <w:p>
      <w:pPr>
        <w:tabs>
          <w:tab w:val="center" w:pos="4536"/>
          <w:tab w:val="right"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Na natječaj se mogu prijaviti i kandidati koji nemaju položen stručni ispit uz uvjet da isti polože u zakonskom roku, uz iznimke propisane člankom 258. Zakona o socijalnoj skrbi („Narodne novine“ broj 18/22, 46/22, 119/22, 71/23 i 156/23 - dalje u tekstu: Zakon).</w:t>
      </w:r>
    </w:p>
    <w:p>
      <w:pPr>
        <w:tabs>
          <w:tab w:val="center" w:pos="4536"/>
          <w:tab w:val="right" w:pos="9072"/>
        </w:tabs>
        <w:overflowPunct w:val="0"/>
        <w:autoSpaceDE w:val="0"/>
        <w:autoSpaceDN w:val="0"/>
        <w:adjustRightInd w:val="0"/>
        <w:jc w:val="both"/>
        <w:textAlignment w:val="baseline"/>
        <w:rPr>
          <w:rFonts w:ascii="Arial" w:hAnsi="Arial" w:cs="Arial"/>
          <w:sz w:val="22"/>
          <w:szCs w:val="22"/>
        </w:rPr>
      </w:pPr>
    </w:p>
    <w:p>
      <w:pPr>
        <w:tabs>
          <w:tab w:val="center" w:pos="4536"/>
          <w:tab w:val="right" w:pos="9072"/>
        </w:tabs>
        <w:overflowPunct w:val="0"/>
        <w:autoSpaceDE w:val="0"/>
        <w:autoSpaceDN w:val="0"/>
        <w:adjustRightInd w:val="0"/>
        <w:jc w:val="both"/>
        <w:textAlignment w:val="baseline"/>
        <w:rPr>
          <w:rFonts w:ascii="Arial" w:hAnsi="Arial" w:cs="Arial"/>
          <w:sz w:val="22"/>
          <w:szCs w:val="22"/>
        </w:rPr>
      </w:pPr>
    </w:p>
    <w:p>
      <w:pPr>
        <w:tabs>
          <w:tab w:val="center" w:pos="4536"/>
          <w:tab w:val="right"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Ne može se primiti u radni odnos osoba za koju postoje zapreke za zasnivanje radnog odnosa sukladno članku 261. Zakona.</w:t>
      </w:r>
    </w:p>
    <w:p>
      <w:pPr>
        <w:tabs>
          <w:tab w:val="center" w:pos="4536"/>
          <w:tab w:val="right"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Prije sklapanja ugovora o radu s odabranim kandidatom, poslodavac će po službenoj dužnosti pribaviti dokaz da  ista nije osuđena za kaznena djela ili za prekršaj iz članka 261. Zakona, te da se protiv nje pred nadležnim sudom ne vodi postupak iz stavka 1. točke 4. ovoga članka.</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Kandidat koji ostvaruje pravo prednosti pri zapošljavanju prema posebnim propisima dužan je u prijavi na natječaj pozvati se na to pravo i ima prednost u odnosu na ostale kandidate samo pod jednakim uvjetima. Da bi ostvario pravo prednosti prilikom zapošljavanja, kandidat koji ispunjava uvjete za ostvarivanje tog prava, dužan je uz prijavu na natječaj priložiti sve dokaze o ispunjavanju uvjeta iz natječaja, kao i rješenje odnosno potvrdu o priznatom statusu, te dokaz iz kojeg je vidljivo na koji način je prestao radni odnos kod posljednjeg poslodavca (ugovor, rješenje, odluka i sl.).   Kandidat koji se poziva  na  pravo prednosti pri zapošljavanju na temelju Zakona o hrvatskim braniteljima iz Domovinskog rata i članovima njihovih obitelji, dužan je, osim dokaza o ispunjavanju traženih uvjeta natječaja, dostaviti i dokaze iz članka 103. Zakona o hrvatskim braniteljima iz Domovinskog rata i članovima njihovih obitelji. Dokazi potrebni za ostvarivanje prava prednosti pri zapošljavanju objavljeni su na sljedećoj poveznici: </w:t>
      </w:r>
      <w:r>
        <w:fldChar w:fldCharType="begin"/>
      </w:r>
      <w:r>
        <w:instrText xml:space="preserve"> HYPERLINK "https://branitelji.gov.hr/zaposljavanje-u-drzavnoj-sluzbi/843" </w:instrText>
      </w:r>
      <w:r>
        <w:fldChar w:fldCharType="separate"/>
      </w:r>
      <w:r>
        <w:rPr>
          <w:rStyle w:val="4"/>
          <w:rFonts w:ascii="Arial" w:hAnsi="Arial" w:cs="Arial"/>
          <w:sz w:val="22"/>
          <w:szCs w:val="22"/>
        </w:rPr>
        <w:t>https://branitelji.gov.hr/zaposljavanje-u-drzavnoj-sluzbi/843</w:t>
      </w:r>
      <w:r>
        <w:rPr>
          <w:rStyle w:val="4"/>
          <w:rFonts w:ascii="Arial" w:hAnsi="Arial" w:cs="Arial"/>
          <w:sz w:val="22"/>
          <w:szCs w:val="22"/>
        </w:rPr>
        <w:fldChar w:fldCharType="end"/>
      </w:r>
      <w:r>
        <w:rPr>
          <w:rFonts w:ascii="Arial" w:hAnsi="Arial" w:cs="Arial"/>
          <w:sz w:val="22"/>
          <w:szCs w:val="22"/>
        </w:rPr>
        <w:t xml:space="preserve"> .</w:t>
      </w:r>
    </w:p>
    <w:p>
      <w:pPr>
        <w:ind w:firstLine="709"/>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Prijave na natječaj s dokazima o ispunjavanju propisanih uvjeta dostavljaju se u roku od osam dana od dana objave natječaja na adresu: CENTAR ZA PRUŽANJE USLUGA U ZAJEDNICI TIĆ RIJEKA, Beli Kamik 11, Rijeka, s naznakom "NATJEČAJ ZA RADNO MJESTO -</w:t>
      </w:r>
      <w:r>
        <w:rPr>
          <w:rFonts w:hint="default" w:ascii="Arial" w:hAnsi="Arial" w:cs="Arial"/>
          <w:b/>
          <w:sz w:val="22"/>
          <w:szCs w:val="22"/>
          <w:lang w:val="hr-HR"/>
        </w:rPr>
        <w:t xml:space="preserve"> ODGAJATELJ </w:t>
      </w:r>
      <w:r>
        <w:rPr>
          <w:rFonts w:ascii="Arial" w:hAnsi="Arial" w:cs="Arial"/>
          <w:b/>
          <w:sz w:val="22"/>
          <w:szCs w:val="22"/>
        </w:rPr>
        <w:t xml:space="preserve">".  </w:t>
      </w:r>
    </w:p>
    <w:p>
      <w:pPr>
        <w:jc w:val="both"/>
        <w:rPr>
          <w:rFonts w:ascii="Arial" w:hAnsi="Arial" w:cs="Arial"/>
          <w:sz w:val="22"/>
          <w:szCs w:val="22"/>
        </w:rPr>
      </w:pPr>
      <w:r>
        <w:rPr>
          <w:rFonts w:ascii="Arial" w:hAnsi="Arial" w:cs="Arial"/>
          <w:sz w:val="22"/>
          <w:szCs w:val="22"/>
        </w:rPr>
        <w:t>Podnošenjem prijave na natječaj kandidati su suglasni da Centar Tić Rijeka kao voditelj zbirke osobnih podataka može prikupljati, koristiti i dalje obrađivati njihove osobne podatke isključivo u svrhu provedbe natječajnog postupka sukladno propisima koji uređuju zaštitu osobnih podataka.</w:t>
      </w:r>
    </w:p>
    <w:p>
      <w:pPr>
        <w:jc w:val="both"/>
        <w:rPr>
          <w:rFonts w:ascii="Arial" w:hAnsi="Arial" w:cs="Arial"/>
          <w:sz w:val="22"/>
          <w:szCs w:val="22"/>
        </w:rPr>
      </w:pPr>
      <w:r>
        <w:rPr>
          <w:rFonts w:ascii="Arial" w:hAnsi="Arial" w:cs="Arial"/>
          <w:sz w:val="22"/>
          <w:szCs w:val="22"/>
        </w:rPr>
        <w:t>Nepotpune i nepravodobne prijave neće se razmatrati.</w:t>
      </w:r>
    </w:p>
    <w:p>
      <w:pPr>
        <w:jc w:val="both"/>
        <w:rPr>
          <w:rFonts w:ascii="Arial" w:hAnsi="Arial" w:cs="Arial"/>
          <w:sz w:val="22"/>
          <w:szCs w:val="22"/>
        </w:rPr>
      </w:pPr>
      <w:r>
        <w:rPr>
          <w:rFonts w:ascii="Arial" w:hAnsi="Arial" w:cs="Arial"/>
          <w:sz w:val="22"/>
          <w:szCs w:val="22"/>
        </w:rPr>
        <w:t xml:space="preserve">O rezultatima izbora po ovom natječaju kandidati će biti obaviješteni u zakonskom roku.                 </w:t>
      </w:r>
    </w:p>
    <w:p>
      <w:pPr>
        <w:jc w:val="both"/>
        <w:rPr>
          <w:rFonts w:ascii="Arial" w:hAnsi="Arial" w:cs="Arial"/>
          <w:sz w:val="22"/>
          <w:szCs w:val="22"/>
        </w:rPr>
      </w:pPr>
      <w:r>
        <w:rPr>
          <w:rFonts w:ascii="Arial" w:hAnsi="Arial" w:cs="Arial"/>
          <w:sz w:val="22"/>
          <w:szCs w:val="22"/>
        </w:rPr>
        <w:t>Centar Tić Rijeka zadržava pravo poništiti ovaj natječaj.</w:t>
      </w:r>
    </w:p>
    <w:p>
      <w:pPr>
        <w:jc w:val="both"/>
        <w:rPr>
          <w:rFonts w:ascii="Arial" w:hAnsi="Arial" w:cs="Arial"/>
          <w:sz w:val="22"/>
          <w:szCs w:val="22"/>
        </w:rPr>
      </w:pPr>
    </w:p>
    <w:p>
      <w:pPr>
        <w:ind w:firstLine="709"/>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         </w:t>
      </w:r>
    </w:p>
    <w:p>
      <w:pPr>
        <w:jc w:val="both"/>
        <w:rPr>
          <w:rFonts w:ascii="Arial" w:hAnsi="Arial" w:cs="Arial"/>
          <w:sz w:val="22"/>
          <w:szCs w:val="22"/>
        </w:rPr>
      </w:pPr>
    </w:p>
    <w:tbl>
      <w:tblPr>
        <w:tblStyle w:val="3"/>
        <w:tblW w:w="9638" w:type="dxa"/>
        <w:tblInd w:w="0" w:type="dxa"/>
        <w:tblLayout w:type="autofit"/>
        <w:tblCellMar>
          <w:top w:w="0" w:type="dxa"/>
          <w:left w:w="108" w:type="dxa"/>
          <w:bottom w:w="0" w:type="dxa"/>
          <w:right w:w="108" w:type="dxa"/>
        </w:tblCellMar>
      </w:tblPr>
      <w:tblGrid>
        <w:gridCol w:w="3212"/>
        <w:gridCol w:w="1603"/>
        <w:gridCol w:w="4823"/>
      </w:tblGrid>
      <w:tr>
        <w:tblPrEx>
          <w:tblCellMar>
            <w:top w:w="0" w:type="dxa"/>
            <w:left w:w="108" w:type="dxa"/>
            <w:bottom w:w="0" w:type="dxa"/>
            <w:right w:w="108" w:type="dxa"/>
          </w:tblCellMar>
        </w:tblPrEx>
        <w:tc>
          <w:tcPr>
            <w:tcW w:w="3212" w:type="dxa"/>
          </w:tcPr>
          <w:p>
            <w:pPr>
              <w:jc w:val="both"/>
              <w:rPr>
                <w:rFonts w:ascii="Arial" w:hAnsi="Arial" w:cs="Arial"/>
                <w:sz w:val="22"/>
                <w:szCs w:val="22"/>
              </w:rPr>
            </w:pPr>
          </w:p>
        </w:tc>
        <w:tc>
          <w:tcPr>
            <w:tcW w:w="1603" w:type="dxa"/>
          </w:tcPr>
          <w:p>
            <w:pPr>
              <w:jc w:val="both"/>
              <w:rPr>
                <w:rFonts w:ascii="Arial" w:hAnsi="Arial" w:cs="Arial"/>
                <w:sz w:val="22"/>
                <w:szCs w:val="22"/>
              </w:rPr>
            </w:pPr>
          </w:p>
        </w:tc>
        <w:tc>
          <w:tcPr>
            <w:tcW w:w="4823" w:type="dxa"/>
          </w:tcPr>
          <w:p>
            <w:pPr>
              <w:jc w:val="center"/>
              <w:rPr>
                <w:rFonts w:ascii="Arial" w:hAnsi="Arial" w:cs="Arial"/>
                <w:b/>
                <w:sz w:val="22"/>
                <w:szCs w:val="22"/>
              </w:rPr>
            </w:pPr>
            <w:r>
              <w:rPr>
                <w:rFonts w:ascii="Arial" w:hAnsi="Arial" w:cs="Arial"/>
                <w:b/>
                <w:sz w:val="22"/>
                <w:szCs w:val="22"/>
              </w:rPr>
              <w:t>RAVNATELJ</w:t>
            </w:r>
          </w:p>
        </w:tc>
      </w:tr>
      <w:tr>
        <w:tblPrEx>
          <w:tblCellMar>
            <w:top w:w="0" w:type="dxa"/>
            <w:left w:w="108" w:type="dxa"/>
            <w:bottom w:w="0" w:type="dxa"/>
            <w:right w:w="108" w:type="dxa"/>
          </w:tblCellMar>
        </w:tblPrEx>
        <w:tc>
          <w:tcPr>
            <w:tcW w:w="3212" w:type="dxa"/>
          </w:tcPr>
          <w:p>
            <w:pPr>
              <w:jc w:val="both"/>
              <w:rPr>
                <w:rFonts w:ascii="Arial" w:hAnsi="Arial" w:cs="Arial"/>
                <w:sz w:val="22"/>
                <w:szCs w:val="22"/>
              </w:rPr>
            </w:pPr>
          </w:p>
        </w:tc>
        <w:tc>
          <w:tcPr>
            <w:tcW w:w="1603" w:type="dxa"/>
          </w:tcPr>
          <w:p>
            <w:pPr>
              <w:jc w:val="both"/>
              <w:rPr>
                <w:rFonts w:ascii="Arial" w:hAnsi="Arial" w:cs="Arial"/>
                <w:sz w:val="22"/>
                <w:szCs w:val="22"/>
              </w:rPr>
            </w:pPr>
          </w:p>
        </w:tc>
        <w:tc>
          <w:tcPr>
            <w:tcW w:w="4823" w:type="dxa"/>
          </w:tcPr>
          <w:p>
            <w:pPr>
              <w:jc w:val="center"/>
              <w:rPr>
                <w:rFonts w:ascii="Arial" w:hAnsi="Arial" w:cs="Arial"/>
                <w:b/>
                <w:sz w:val="22"/>
                <w:szCs w:val="22"/>
              </w:rPr>
            </w:pPr>
          </w:p>
        </w:tc>
      </w:tr>
      <w:tr>
        <w:tblPrEx>
          <w:tblCellMar>
            <w:top w:w="0" w:type="dxa"/>
            <w:left w:w="108" w:type="dxa"/>
            <w:bottom w:w="0" w:type="dxa"/>
            <w:right w:w="108" w:type="dxa"/>
          </w:tblCellMar>
        </w:tblPrEx>
        <w:tc>
          <w:tcPr>
            <w:tcW w:w="3212" w:type="dxa"/>
          </w:tcPr>
          <w:p>
            <w:pPr>
              <w:jc w:val="both"/>
              <w:rPr>
                <w:rFonts w:ascii="Arial" w:hAnsi="Arial" w:cs="Arial"/>
                <w:sz w:val="22"/>
                <w:szCs w:val="22"/>
              </w:rPr>
            </w:pPr>
          </w:p>
        </w:tc>
        <w:tc>
          <w:tcPr>
            <w:tcW w:w="1603" w:type="dxa"/>
          </w:tcPr>
          <w:p>
            <w:pPr>
              <w:jc w:val="both"/>
              <w:rPr>
                <w:rFonts w:ascii="Arial" w:hAnsi="Arial" w:cs="Arial"/>
                <w:sz w:val="22"/>
                <w:szCs w:val="22"/>
              </w:rPr>
            </w:pPr>
          </w:p>
        </w:tc>
        <w:tc>
          <w:tcPr>
            <w:tcW w:w="4823" w:type="dxa"/>
          </w:tcPr>
          <w:p>
            <w:pPr>
              <w:jc w:val="center"/>
              <w:rPr>
                <w:rFonts w:ascii="Arial" w:hAnsi="Arial" w:cs="Arial"/>
                <w:b/>
                <w:sz w:val="22"/>
                <w:szCs w:val="22"/>
              </w:rPr>
            </w:pPr>
            <w:r>
              <w:rPr>
                <w:rFonts w:ascii="Arial" w:hAnsi="Arial" w:cs="Arial"/>
                <w:b/>
                <w:sz w:val="22"/>
                <w:szCs w:val="22"/>
              </w:rPr>
              <w:t>Dario Kulišić, prof.psih.</w:t>
            </w:r>
          </w:p>
        </w:tc>
      </w:tr>
    </w:tbl>
    <w:p>
      <w:pPr>
        <w:ind w:firstLine="720"/>
        <w:jc w:val="both"/>
        <w:rPr>
          <w:rFonts w:ascii="Arial" w:hAnsi="Arial" w:cs="Arial"/>
          <w:sz w:val="22"/>
          <w:szCs w:val="22"/>
        </w:rPr>
      </w:pPr>
    </w:p>
    <w:p/>
    <w:p/>
    <w:p>
      <w:r>
        <w:t xml:space="preserve">         </w:t>
      </w:r>
    </w:p>
    <w:p>
      <w:r>
        <w:t xml:space="preserve"> </w:t>
      </w:r>
    </w:p>
    <w:tbl>
      <w:tblPr>
        <w:tblStyle w:val="3"/>
        <w:tblW w:w="0" w:type="auto"/>
        <w:tblInd w:w="0" w:type="dxa"/>
        <w:tblLayout w:type="autofit"/>
        <w:tblCellMar>
          <w:top w:w="15" w:type="dxa"/>
          <w:left w:w="15" w:type="dxa"/>
          <w:bottom w:w="15" w:type="dxa"/>
          <w:right w:w="15" w:type="dxa"/>
        </w:tblCellMar>
      </w:tblPr>
      <w:tblGrid>
        <w:gridCol w:w="3017"/>
        <w:gridCol w:w="1496"/>
        <w:gridCol w:w="4589"/>
      </w:tblGrid>
      <w:tr>
        <w:tblPrEx>
          <w:tblCellMar>
            <w:top w:w="15" w:type="dxa"/>
            <w:left w:w="15" w:type="dxa"/>
            <w:bottom w:w="15" w:type="dxa"/>
            <w:right w:w="15" w:type="dxa"/>
          </w:tblCellMar>
        </w:tblPrEx>
        <w:tc>
          <w:tcPr>
            <w:tcW w:w="3210" w:type="dxa"/>
            <w:tcBorders>
              <w:top w:val="nil"/>
              <w:left w:val="nil"/>
              <w:bottom w:val="nil"/>
              <w:right w:val="nil"/>
            </w:tcBorders>
          </w:tcPr>
          <w:p/>
        </w:tc>
        <w:tc>
          <w:tcPr>
            <w:tcW w:w="1590" w:type="dxa"/>
            <w:tcBorders>
              <w:top w:val="nil"/>
              <w:left w:val="nil"/>
              <w:bottom w:val="nil"/>
              <w:right w:val="nil"/>
            </w:tcBorders>
          </w:tcPr>
          <w:p/>
        </w:tc>
        <w:tc>
          <w:tcPr>
            <w:tcW w:w="4815" w:type="dxa"/>
            <w:tcBorders>
              <w:top w:val="nil"/>
              <w:left w:val="nil"/>
              <w:bottom w:val="nil"/>
              <w:right w:val="nil"/>
            </w:tcBorders>
          </w:tcPr>
          <w:p>
            <w:pPr>
              <w:rPr>
                <w:b/>
              </w:rPr>
            </w:pPr>
            <w:r>
              <w:rPr>
                <w:b/>
              </w:rPr>
              <w:t>RAVNATELJ</w:t>
            </w:r>
          </w:p>
        </w:tc>
      </w:tr>
      <w:tr>
        <w:tblPrEx>
          <w:tblCellMar>
            <w:top w:w="15" w:type="dxa"/>
            <w:left w:w="15" w:type="dxa"/>
            <w:bottom w:w="15" w:type="dxa"/>
            <w:right w:w="15" w:type="dxa"/>
          </w:tblCellMar>
        </w:tblPrEx>
        <w:tc>
          <w:tcPr>
            <w:tcW w:w="3210" w:type="dxa"/>
            <w:tcBorders>
              <w:top w:val="nil"/>
              <w:left w:val="nil"/>
              <w:bottom w:val="nil"/>
              <w:right w:val="nil"/>
            </w:tcBorders>
          </w:tcPr>
          <w:p/>
        </w:tc>
        <w:tc>
          <w:tcPr>
            <w:tcW w:w="1590" w:type="dxa"/>
            <w:tcBorders>
              <w:top w:val="nil"/>
              <w:left w:val="nil"/>
              <w:bottom w:val="nil"/>
              <w:right w:val="nil"/>
            </w:tcBorders>
          </w:tcPr>
          <w:p/>
        </w:tc>
        <w:tc>
          <w:tcPr>
            <w:tcW w:w="4815" w:type="dxa"/>
            <w:tcBorders>
              <w:top w:val="nil"/>
              <w:left w:val="nil"/>
              <w:bottom w:val="nil"/>
              <w:right w:val="nil"/>
            </w:tcBorders>
          </w:tcPr>
          <w:p>
            <w:pPr>
              <w:rPr>
                <w:b/>
              </w:rPr>
            </w:pPr>
          </w:p>
        </w:tc>
      </w:tr>
      <w:tr>
        <w:tblPrEx>
          <w:tblCellMar>
            <w:top w:w="15" w:type="dxa"/>
            <w:left w:w="15" w:type="dxa"/>
            <w:bottom w:w="15" w:type="dxa"/>
            <w:right w:w="15" w:type="dxa"/>
          </w:tblCellMar>
        </w:tblPrEx>
        <w:tc>
          <w:tcPr>
            <w:tcW w:w="3210" w:type="dxa"/>
            <w:tcBorders>
              <w:top w:val="nil"/>
              <w:left w:val="nil"/>
              <w:bottom w:val="nil"/>
              <w:right w:val="nil"/>
            </w:tcBorders>
          </w:tcPr>
          <w:p/>
        </w:tc>
        <w:tc>
          <w:tcPr>
            <w:tcW w:w="1590" w:type="dxa"/>
            <w:tcBorders>
              <w:top w:val="nil"/>
              <w:left w:val="nil"/>
              <w:bottom w:val="nil"/>
              <w:right w:val="nil"/>
            </w:tcBorders>
          </w:tcPr>
          <w:p/>
        </w:tc>
        <w:tc>
          <w:tcPr>
            <w:tcW w:w="4815" w:type="dxa"/>
            <w:tcBorders>
              <w:top w:val="nil"/>
              <w:left w:val="nil"/>
              <w:bottom w:val="nil"/>
              <w:right w:val="nil"/>
            </w:tcBorders>
          </w:tcPr>
          <w:p>
            <w:pPr>
              <w:rPr>
                <w:b/>
              </w:rPr>
            </w:pPr>
            <w:r>
              <w:rPr>
                <w:b/>
              </w:rPr>
              <w:t>Dario Kulišić, prof.psih.</w:t>
            </w:r>
          </w:p>
        </w:tc>
      </w:tr>
    </w:tbl>
    <w:p>
      <w:r>
        <w:t xml:space="preserve"> </w:t>
      </w:r>
    </w:p>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94713"/>
    <w:multiLevelType w:val="multilevel"/>
    <w:tmpl w:val="06E94713"/>
    <w:lvl w:ilvl="0" w:tentative="0">
      <w:start w:val="4"/>
      <w:numFmt w:val="bullet"/>
      <w:lvlText w:val="-"/>
      <w:lvlJc w:val="left"/>
      <w:pPr>
        <w:tabs>
          <w:tab w:val="left" w:pos="720"/>
        </w:tabs>
        <w:ind w:left="720" w:hanging="360"/>
      </w:pPr>
      <w:rPr>
        <w:rFonts w:hint="default" w:ascii="Arial" w:hAnsi="Arial" w:eastAsia="Times New Roman" w:cs="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385A04D6"/>
    <w:multiLevelType w:val="multilevel"/>
    <w:tmpl w:val="385A04D6"/>
    <w:lvl w:ilvl="0" w:tentative="0">
      <w:start w:val="8"/>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DE"/>
    <w:rsid w:val="000235C0"/>
    <w:rsid w:val="00030037"/>
    <w:rsid w:val="00030DA9"/>
    <w:rsid w:val="00037F4C"/>
    <w:rsid w:val="00065051"/>
    <w:rsid w:val="000762B8"/>
    <w:rsid w:val="000843B4"/>
    <w:rsid w:val="000A3027"/>
    <w:rsid w:val="000C57F8"/>
    <w:rsid w:val="000D5EC9"/>
    <w:rsid w:val="00103640"/>
    <w:rsid w:val="00105CE1"/>
    <w:rsid w:val="00126E15"/>
    <w:rsid w:val="00135E8A"/>
    <w:rsid w:val="0013686F"/>
    <w:rsid w:val="001C6660"/>
    <w:rsid w:val="001C7489"/>
    <w:rsid w:val="001F162D"/>
    <w:rsid w:val="00210BA2"/>
    <w:rsid w:val="00210D85"/>
    <w:rsid w:val="0022343D"/>
    <w:rsid w:val="00225AD7"/>
    <w:rsid w:val="00251A1C"/>
    <w:rsid w:val="002551DE"/>
    <w:rsid w:val="00261F3D"/>
    <w:rsid w:val="00266BD0"/>
    <w:rsid w:val="00293320"/>
    <w:rsid w:val="002950E1"/>
    <w:rsid w:val="002A1201"/>
    <w:rsid w:val="002E3E2A"/>
    <w:rsid w:val="002F162F"/>
    <w:rsid w:val="00316109"/>
    <w:rsid w:val="003203B4"/>
    <w:rsid w:val="00325BDE"/>
    <w:rsid w:val="003476A8"/>
    <w:rsid w:val="0036342D"/>
    <w:rsid w:val="003B3D6E"/>
    <w:rsid w:val="003B7C84"/>
    <w:rsid w:val="003D2D40"/>
    <w:rsid w:val="004010A1"/>
    <w:rsid w:val="0042116F"/>
    <w:rsid w:val="00432CE9"/>
    <w:rsid w:val="00446D46"/>
    <w:rsid w:val="00465F27"/>
    <w:rsid w:val="0048770D"/>
    <w:rsid w:val="00490392"/>
    <w:rsid w:val="004A014F"/>
    <w:rsid w:val="004C44CA"/>
    <w:rsid w:val="004C5127"/>
    <w:rsid w:val="004D5B6D"/>
    <w:rsid w:val="004E3C45"/>
    <w:rsid w:val="004F3B07"/>
    <w:rsid w:val="004F3E45"/>
    <w:rsid w:val="0052324B"/>
    <w:rsid w:val="005346E9"/>
    <w:rsid w:val="00545B0D"/>
    <w:rsid w:val="00561D39"/>
    <w:rsid w:val="00566DDB"/>
    <w:rsid w:val="005813D5"/>
    <w:rsid w:val="00593789"/>
    <w:rsid w:val="005A0997"/>
    <w:rsid w:val="005B7AFF"/>
    <w:rsid w:val="005C1725"/>
    <w:rsid w:val="005D0B71"/>
    <w:rsid w:val="005F314E"/>
    <w:rsid w:val="005F434F"/>
    <w:rsid w:val="006079AA"/>
    <w:rsid w:val="00610F1F"/>
    <w:rsid w:val="00642DC4"/>
    <w:rsid w:val="006473AB"/>
    <w:rsid w:val="006633C9"/>
    <w:rsid w:val="006662EF"/>
    <w:rsid w:val="00673D85"/>
    <w:rsid w:val="00677FC8"/>
    <w:rsid w:val="00681915"/>
    <w:rsid w:val="00695813"/>
    <w:rsid w:val="006A3DD7"/>
    <w:rsid w:val="006A4C60"/>
    <w:rsid w:val="006B619C"/>
    <w:rsid w:val="006C5F88"/>
    <w:rsid w:val="006D515D"/>
    <w:rsid w:val="006E7443"/>
    <w:rsid w:val="00714EE5"/>
    <w:rsid w:val="00721167"/>
    <w:rsid w:val="007259C6"/>
    <w:rsid w:val="00780D80"/>
    <w:rsid w:val="0078296A"/>
    <w:rsid w:val="0079262D"/>
    <w:rsid w:val="00795A44"/>
    <w:rsid w:val="007A1E4B"/>
    <w:rsid w:val="007A587C"/>
    <w:rsid w:val="007B3A9D"/>
    <w:rsid w:val="007C039C"/>
    <w:rsid w:val="007C4E72"/>
    <w:rsid w:val="007C5CE9"/>
    <w:rsid w:val="007C668F"/>
    <w:rsid w:val="007C756D"/>
    <w:rsid w:val="007D0CF6"/>
    <w:rsid w:val="007D39F5"/>
    <w:rsid w:val="007F0162"/>
    <w:rsid w:val="007F10C0"/>
    <w:rsid w:val="007F2E66"/>
    <w:rsid w:val="007F75F2"/>
    <w:rsid w:val="008054EE"/>
    <w:rsid w:val="008121FB"/>
    <w:rsid w:val="008307C6"/>
    <w:rsid w:val="00832A57"/>
    <w:rsid w:val="008572FB"/>
    <w:rsid w:val="008A2055"/>
    <w:rsid w:val="008A3469"/>
    <w:rsid w:val="008C247B"/>
    <w:rsid w:val="008C6334"/>
    <w:rsid w:val="008E27DF"/>
    <w:rsid w:val="0092461C"/>
    <w:rsid w:val="009313BA"/>
    <w:rsid w:val="00942BEF"/>
    <w:rsid w:val="0095685A"/>
    <w:rsid w:val="00964243"/>
    <w:rsid w:val="009A1DD6"/>
    <w:rsid w:val="009B1A6D"/>
    <w:rsid w:val="009D36FC"/>
    <w:rsid w:val="009E68B2"/>
    <w:rsid w:val="009F62FE"/>
    <w:rsid w:val="00A06420"/>
    <w:rsid w:val="00A13EC9"/>
    <w:rsid w:val="00A202FF"/>
    <w:rsid w:val="00A566EF"/>
    <w:rsid w:val="00A93AEE"/>
    <w:rsid w:val="00B02AEE"/>
    <w:rsid w:val="00B44152"/>
    <w:rsid w:val="00B60EF1"/>
    <w:rsid w:val="00B83DD0"/>
    <w:rsid w:val="00B84E2C"/>
    <w:rsid w:val="00B90CC8"/>
    <w:rsid w:val="00BB7E9B"/>
    <w:rsid w:val="00BD0A13"/>
    <w:rsid w:val="00C02BF4"/>
    <w:rsid w:val="00C0464A"/>
    <w:rsid w:val="00C2176F"/>
    <w:rsid w:val="00C242AA"/>
    <w:rsid w:val="00C36F52"/>
    <w:rsid w:val="00C42366"/>
    <w:rsid w:val="00C7595E"/>
    <w:rsid w:val="00C75B64"/>
    <w:rsid w:val="00C775EF"/>
    <w:rsid w:val="00CA7520"/>
    <w:rsid w:val="00CA76E0"/>
    <w:rsid w:val="00CD4F5D"/>
    <w:rsid w:val="00CF386A"/>
    <w:rsid w:val="00D113F9"/>
    <w:rsid w:val="00D34EA7"/>
    <w:rsid w:val="00D81B60"/>
    <w:rsid w:val="00D841B6"/>
    <w:rsid w:val="00D9758E"/>
    <w:rsid w:val="00DE0406"/>
    <w:rsid w:val="00DF4AE7"/>
    <w:rsid w:val="00E11ABA"/>
    <w:rsid w:val="00E179DD"/>
    <w:rsid w:val="00E337DB"/>
    <w:rsid w:val="00E36BBA"/>
    <w:rsid w:val="00E4448B"/>
    <w:rsid w:val="00E53DD6"/>
    <w:rsid w:val="00E60AC6"/>
    <w:rsid w:val="00E806AE"/>
    <w:rsid w:val="00E80F9B"/>
    <w:rsid w:val="00E95A8F"/>
    <w:rsid w:val="00EB1492"/>
    <w:rsid w:val="00ED49A1"/>
    <w:rsid w:val="00ED7463"/>
    <w:rsid w:val="00F07F9D"/>
    <w:rsid w:val="00F119F3"/>
    <w:rsid w:val="00F21C1A"/>
    <w:rsid w:val="00F36051"/>
    <w:rsid w:val="00F40097"/>
    <w:rsid w:val="00F7256F"/>
    <w:rsid w:val="00F77B64"/>
    <w:rsid w:val="00F83A43"/>
    <w:rsid w:val="00F91FE2"/>
    <w:rsid w:val="00F930EB"/>
    <w:rsid w:val="00FA3D36"/>
    <w:rsid w:val="00FB0AC0"/>
    <w:rsid w:val="00FB3DDA"/>
    <w:rsid w:val="00FD1EAE"/>
    <w:rsid w:val="00FF14CF"/>
    <w:rsid w:val="09B7001A"/>
    <w:rsid w:val="0A6A70A0"/>
    <w:rsid w:val="0DB06985"/>
    <w:rsid w:val="4D93560D"/>
    <w:rsid w:val="52667C41"/>
    <w:rsid w:val="6DC72BA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hr-HR" w:eastAsia="en-US" w:bidi="ar-SA"/>
    </w:rPr>
  </w:style>
  <w:style w:type="character" w:default="1" w:styleId="2">
    <w:name w:val="Default Paragraph Font"/>
    <w:autoRedefine/>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autoRedefine/>
    <w:unhideWhenUsed/>
    <w:qFormat/>
    <w:uiPriority w:val="99"/>
    <w:rPr>
      <w:color w:val="0563C1" w:themeColor="hyperlink"/>
      <w:u w:val="single"/>
      <w14:textFill>
        <w14:solidFill>
          <w14:schemeClr w14:val="hlink"/>
        </w14:solidFill>
      </w14:textFill>
    </w:rPr>
  </w:style>
  <w:style w:type="paragraph" w:styleId="5">
    <w:name w:val="List Paragraph"/>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Grad Rijeka</Company>
  <Pages>3</Pages>
  <Words>709</Words>
  <Characters>4046</Characters>
  <Lines>33</Lines>
  <Paragraphs>9</Paragraphs>
  <TotalTime>2</TotalTime>
  <ScaleCrop>false</ScaleCrop>
  <LinksUpToDate>false</LinksUpToDate>
  <CharactersWithSpaces>4746</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2024-04-26T10:43:00Z</dcterms:created>
  <dc:creator>Tadejević Tomac Martina</dc:creator>
  <cp:lastModifiedBy>tadejevic-tomac</cp:lastModifiedBy>
  <dcterms:modified xsi:type="dcterms:W3CDTF">2024-04-29T11:46:03Z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ECCF7DC74B804E9CB06906AE0EE20EF9_12</vt:lpwstr>
  </property>
</Properties>
</file>