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b/>
        </w:rPr>
        <w:t>CENTAR ZA PRUŽANJE USLUGA U ZAJEDNICI TIĆ RIJEKA</w:t>
      </w:r>
    </w:p>
    <w:p>
      <w:pPr>
        <w:rPr>
          <w:b/>
        </w:rPr>
      </w:pPr>
      <w:r>
        <w:rPr>
          <w:b/>
        </w:rPr>
        <w:t>Beli Kamik 11</w:t>
      </w:r>
    </w:p>
    <w:p>
      <w:pPr>
        <w:rPr>
          <w:b/>
        </w:rPr>
      </w:pPr>
      <w:r>
        <w:rPr>
          <w:b/>
        </w:rPr>
        <w:t xml:space="preserve">51 000 Rijeka </w:t>
      </w:r>
    </w:p>
    <w:p>
      <w:pPr>
        <w:rPr>
          <w:b/>
        </w:rPr>
      </w:pPr>
      <w:r>
        <w:rPr>
          <w:b/>
        </w:rPr>
        <w:t xml:space="preserve"> </w:t>
      </w:r>
    </w:p>
    <w:p>
      <w:pPr>
        <w:rPr>
          <w:rFonts w:hint="default"/>
          <w:b/>
          <w:bCs/>
          <w:iCs/>
          <w:highlight w:val="none"/>
          <w:lang w:val="hr-HR"/>
        </w:rPr>
      </w:pPr>
      <w:r>
        <w:rPr>
          <w:b/>
          <w:highlight w:val="none"/>
        </w:rPr>
        <w:t xml:space="preserve">KLASA: </w:t>
      </w:r>
      <w:r>
        <w:rPr>
          <w:rFonts w:hint="default"/>
          <w:b/>
          <w:highlight w:val="none"/>
          <w:lang w:val="hr-HR"/>
        </w:rPr>
        <w:t>112-01/24-01/1</w:t>
      </w:r>
    </w:p>
    <w:p>
      <w:pPr>
        <w:rPr>
          <w:b/>
          <w:highlight w:val="none"/>
        </w:rPr>
      </w:pPr>
      <w:r>
        <w:rPr>
          <w:b/>
          <w:bCs/>
          <w:iCs/>
          <w:highlight w:val="none"/>
        </w:rPr>
        <w:t>URBROJ:</w:t>
      </w:r>
      <w:r>
        <w:rPr>
          <w:rFonts w:hint="default"/>
          <w:b/>
          <w:bCs/>
          <w:iCs/>
          <w:highlight w:val="none"/>
          <w:lang w:val="hr-HR"/>
        </w:rPr>
        <w:t>2170-1-26-24-1</w:t>
      </w:r>
      <w:r>
        <w:rPr>
          <w:b/>
          <w:bCs/>
          <w:iCs/>
          <w:highlight w:val="none"/>
        </w:rPr>
        <w:t xml:space="preserve"> </w:t>
      </w:r>
      <w:r>
        <w:rPr>
          <w:b/>
          <w:iCs/>
          <w:highlight w:val="none"/>
        </w:rPr>
        <w:t xml:space="preserve"> </w:t>
      </w:r>
    </w:p>
    <w:p>
      <w:pPr>
        <w:rPr>
          <w:rFonts w:hint="default"/>
          <w:b/>
          <w:highlight w:val="none"/>
          <w:lang w:val="hr-HR"/>
        </w:rPr>
      </w:pPr>
      <w:r>
        <w:rPr>
          <w:b/>
          <w:highlight w:val="none"/>
        </w:rPr>
        <w:t xml:space="preserve">Rijeka, </w:t>
      </w:r>
      <w:r>
        <w:rPr>
          <w:rFonts w:hint="default"/>
          <w:b/>
          <w:highlight w:val="none"/>
          <w:lang w:val="hr-HR"/>
        </w:rPr>
        <w:t>29</w:t>
      </w:r>
      <w:bookmarkStart w:id="0" w:name="_GoBack"/>
      <w:bookmarkEnd w:id="0"/>
      <w:r>
        <w:rPr>
          <w:rFonts w:hint="default"/>
          <w:b/>
          <w:highlight w:val="none"/>
          <w:lang w:val="hr-HR"/>
        </w:rPr>
        <w:t>.04.2024.</w:t>
      </w:r>
    </w:p>
    <w:p>
      <w:pPr>
        <w:rPr>
          <w:b/>
        </w:rPr>
      </w:pPr>
      <w:r>
        <w:rPr>
          <w:b/>
        </w:rPr>
        <w:t xml:space="preserve"> </w:t>
      </w:r>
    </w:p>
    <w:p>
      <w:pPr>
        <w:rPr>
          <w:b/>
        </w:rPr>
      </w:pPr>
      <w:r>
        <w:rPr>
          <w:b/>
        </w:rPr>
        <w:t xml:space="preserve">Na temelju članka 6. Pravilnika o radu Centra za pružanje usluga u zajednici Tić Rijeka, ravnatelj Centra, raspisuje  </w:t>
      </w:r>
    </w:p>
    <w:p>
      <w:pPr>
        <w:rPr>
          <w:b/>
        </w:rPr>
      </w:pPr>
    </w:p>
    <w:p>
      <w:pPr>
        <w:ind w:left="2832" w:firstLine="708"/>
        <w:rPr>
          <w:b/>
        </w:rPr>
      </w:pPr>
      <w:r>
        <w:rPr>
          <w:b/>
        </w:rPr>
        <w:t>N A T J E Č A J</w:t>
      </w:r>
    </w:p>
    <w:p>
      <w:pPr>
        <w:ind w:left="708" w:firstLine="708"/>
        <w:rPr>
          <w:b/>
        </w:rPr>
      </w:pPr>
      <w:r>
        <w:rPr>
          <w:b/>
        </w:rPr>
        <w:t>za prijam u radni odnos na neodređeno vrijeme na radno mjesto:</w:t>
      </w:r>
    </w:p>
    <w:p>
      <w:pPr>
        <w:ind w:left="708" w:firstLine="708"/>
        <w:rPr>
          <w:b/>
        </w:rPr>
      </w:pPr>
    </w:p>
    <w:p>
      <w:pPr>
        <w:jc w:val="center"/>
        <w:rPr>
          <w:rFonts w:ascii="Arial" w:hAnsi="Arial" w:cs="Arial"/>
          <w:b/>
          <w:sz w:val="22"/>
          <w:szCs w:val="22"/>
        </w:rPr>
      </w:pPr>
      <w:r>
        <w:rPr>
          <w:rFonts w:ascii="Arial" w:hAnsi="Arial" w:cs="Arial"/>
          <w:b/>
          <w:sz w:val="22"/>
          <w:szCs w:val="22"/>
        </w:rPr>
        <w:t>SOCIJALNI RADNIK (/1 izvršitelj/ica, uz probni rad u trajanju od tri mjeseca)</w:t>
      </w:r>
    </w:p>
    <w:p>
      <w:pPr>
        <w:keepNext/>
        <w:jc w:val="both"/>
        <w:outlineLvl w:val="4"/>
        <w:rPr>
          <w:rFonts w:ascii="Arial" w:hAnsi="Arial" w:cs="Arial"/>
          <w:sz w:val="22"/>
          <w:szCs w:val="22"/>
          <w:lang w:val="zh-CN" w:eastAsia="zh-CN"/>
        </w:rPr>
      </w:pPr>
      <w:r>
        <w:rPr>
          <w:rFonts w:ascii="Arial" w:hAnsi="Arial" w:cs="Arial"/>
          <w:sz w:val="22"/>
          <w:szCs w:val="22"/>
          <w:lang w:val="zh-CN" w:eastAsia="zh-CN"/>
        </w:rPr>
        <w:t xml:space="preserve">Uvjeti radnog mjesta: </w:t>
      </w:r>
    </w:p>
    <w:p>
      <w:pPr>
        <w:pStyle w:val="6"/>
        <w:numPr>
          <w:ilvl w:val="0"/>
          <w:numId w:val="1"/>
        </w:numPr>
        <w:jc w:val="both"/>
        <w:rPr>
          <w:rFonts w:ascii="Arial" w:hAnsi="Arial" w:cs="Arial"/>
          <w:sz w:val="22"/>
          <w:szCs w:val="22"/>
        </w:rPr>
      </w:pPr>
      <w:r>
        <w:rPr>
          <w:rFonts w:ascii="Arial" w:hAnsi="Arial" w:cs="Arial"/>
          <w:sz w:val="22"/>
          <w:szCs w:val="22"/>
        </w:rPr>
        <w:t>završen preddiplomski sveučilišni studij socijalnog rada (prvostupnik socijalnog rada) ili završen diplomski sveučilišni studij socijalnog rada (magistar socijalnog rada) ili završen diplomski studij socijalne politike (magistar socijalne politike) u Republici Hrvatskoj ili ima priznatu inozemnu stručnu kvalifikaciju za obavljanje regulirane profesije – socijalni radnik, u skladu s propisima kojima se regulira djelatnost socijalnog rada  te odobrenje za rad nadležne komore</w:t>
      </w:r>
    </w:p>
    <w:p>
      <w:pPr>
        <w:pStyle w:val="6"/>
        <w:numPr>
          <w:ilvl w:val="0"/>
          <w:numId w:val="1"/>
        </w:numPr>
        <w:jc w:val="both"/>
        <w:rPr>
          <w:rFonts w:ascii="Arial" w:hAnsi="Arial" w:cs="Arial"/>
          <w:sz w:val="22"/>
          <w:szCs w:val="22"/>
        </w:rPr>
      </w:pPr>
      <w:r>
        <w:rPr>
          <w:rFonts w:ascii="Arial" w:hAnsi="Arial" w:cs="Arial"/>
          <w:sz w:val="22"/>
          <w:szCs w:val="22"/>
        </w:rPr>
        <w:t>položen stručni ispit za socijalnog radnika</w:t>
      </w:r>
    </w:p>
    <w:p>
      <w:pPr>
        <w:rPr>
          <w:rFonts w:ascii="Arial" w:hAnsi="Arial" w:cs="Arial"/>
          <w:b/>
          <w:sz w:val="22"/>
          <w:szCs w:val="22"/>
        </w:rPr>
      </w:pP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Na natječaj se mogu javiti osobe oba spola.</w:t>
      </w: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Izrazi koji se koriste u ovom tekstu natječaja, a imaju rodno značenje, odnose se jednako na muški i ženski rod.</w:t>
      </w: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 xml:space="preserve"> </w:t>
      </w: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 xml:space="preserve">Kandidat </w:t>
      </w:r>
      <w:r>
        <w:rPr>
          <w:rFonts w:hint="default" w:ascii="Calibri" w:hAnsi="Calibri" w:eastAsia="Calibri" w:cs="Times New Roman"/>
          <w:kern w:val="0"/>
          <w:sz w:val="22"/>
          <w:szCs w:val="22"/>
          <w:lang w:val="hr-HR" w:eastAsia="zh-CN" w:bidi="ar"/>
        </w:rPr>
        <w:t>je</w:t>
      </w:r>
      <w:r>
        <w:rPr>
          <w:rFonts w:ascii="Calibri" w:hAnsi="Calibri" w:eastAsia="Calibri" w:cs="Times New Roman"/>
          <w:kern w:val="0"/>
          <w:sz w:val="22"/>
          <w:szCs w:val="22"/>
          <w:lang w:eastAsia="zh-CN" w:bidi="ar"/>
        </w:rPr>
        <w:t>, uz prijavu na natječaj, obvez</w:t>
      </w:r>
      <w:r>
        <w:rPr>
          <w:rFonts w:hint="default" w:ascii="Calibri" w:hAnsi="Calibri" w:eastAsia="Calibri" w:cs="Times New Roman"/>
          <w:kern w:val="0"/>
          <w:sz w:val="22"/>
          <w:szCs w:val="22"/>
          <w:lang w:val="hr-HR" w:eastAsia="zh-CN" w:bidi="ar"/>
        </w:rPr>
        <w:t xml:space="preserve">an </w:t>
      </w:r>
      <w:r>
        <w:rPr>
          <w:rFonts w:ascii="Calibri" w:hAnsi="Calibri" w:eastAsia="Calibri" w:cs="Times New Roman"/>
          <w:kern w:val="0"/>
          <w:sz w:val="22"/>
          <w:szCs w:val="22"/>
          <w:lang w:eastAsia="zh-CN" w:bidi="ar"/>
        </w:rPr>
        <w:t xml:space="preserve">priložiti dokaze o ispunjavanju uvjeta iz natječaja:  </w:t>
      </w:r>
    </w:p>
    <w:p>
      <w:pPr>
        <w:keepNext w:val="0"/>
        <w:keepLines w:val="0"/>
        <w:widowControl/>
        <w:numPr>
          <w:ilvl w:val="0"/>
          <w:numId w:val="2"/>
        </w:numPr>
        <w:suppressLineNumbers w:val="0"/>
        <w:spacing w:before="0" w:beforeAutospacing="0" w:after="160" w:afterAutospacing="0" w:line="256" w:lineRule="auto"/>
        <w:ind w:left="720" w:right="0" w:hanging="360"/>
        <w:jc w:val="left"/>
      </w:pPr>
      <w:r>
        <w:rPr>
          <w:rFonts w:ascii="Calibri" w:hAnsi="Calibri" w:eastAsia="Calibri" w:cs="Times New Roman"/>
          <w:kern w:val="0"/>
          <w:sz w:val="22"/>
          <w:szCs w:val="22"/>
          <w:lang w:eastAsia="zh-CN" w:bidi="ar"/>
        </w:rPr>
        <w:t xml:space="preserve">životopis, </w:t>
      </w:r>
    </w:p>
    <w:p>
      <w:pPr>
        <w:keepNext w:val="0"/>
        <w:keepLines w:val="0"/>
        <w:widowControl/>
        <w:numPr>
          <w:ilvl w:val="0"/>
          <w:numId w:val="2"/>
        </w:numPr>
        <w:suppressLineNumbers w:val="0"/>
        <w:spacing w:before="0" w:beforeAutospacing="0" w:after="160" w:afterAutospacing="0" w:line="256" w:lineRule="auto"/>
        <w:ind w:left="720" w:right="0" w:hanging="360"/>
        <w:jc w:val="left"/>
      </w:pPr>
      <w:r>
        <w:rPr>
          <w:rFonts w:ascii="Calibri" w:hAnsi="Calibri" w:eastAsia="Calibri" w:cs="Times New Roman"/>
          <w:kern w:val="0"/>
          <w:sz w:val="22"/>
          <w:szCs w:val="22"/>
          <w:lang w:eastAsia="zh-CN" w:bidi="ar"/>
        </w:rPr>
        <w:t xml:space="preserve">dokaz o hrvatskom državljanstvu (preslika osobne iskaznice ili domovnice), </w:t>
      </w:r>
    </w:p>
    <w:p>
      <w:pPr>
        <w:keepNext w:val="0"/>
        <w:keepLines w:val="0"/>
        <w:widowControl/>
        <w:numPr>
          <w:ilvl w:val="0"/>
          <w:numId w:val="2"/>
        </w:numPr>
        <w:suppressLineNumbers w:val="0"/>
        <w:spacing w:before="0" w:beforeAutospacing="0" w:after="160" w:afterAutospacing="0" w:line="256" w:lineRule="auto"/>
        <w:ind w:left="720" w:right="0" w:hanging="360"/>
        <w:jc w:val="left"/>
      </w:pPr>
      <w:r>
        <w:rPr>
          <w:rFonts w:ascii="Calibri" w:hAnsi="Calibri" w:eastAsia="Calibri" w:cs="Times New Roman"/>
          <w:kern w:val="0"/>
          <w:sz w:val="22"/>
          <w:szCs w:val="22"/>
          <w:lang w:eastAsia="zh-CN" w:bidi="ar"/>
        </w:rPr>
        <w:t xml:space="preserve">dokaz o stručnoj spremi (preslika diplome odnosno svjedodžbe),  </w:t>
      </w:r>
    </w:p>
    <w:p>
      <w:pPr>
        <w:keepNext w:val="0"/>
        <w:keepLines w:val="0"/>
        <w:widowControl/>
        <w:numPr>
          <w:ilvl w:val="0"/>
          <w:numId w:val="2"/>
        </w:numPr>
        <w:suppressLineNumbers w:val="0"/>
        <w:spacing w:before="0" w:beforeAutospacing="0" w:after="160" w:afterAutospacing="0" w:line="256" w:lineRule="auto"/>
        <w:ind w:left="720" w:right="0" w:hanging="360"/>
        <w:jc w:val="left"/>
      </w:pPr>
      <w:r>
        <w:rPr>
          <w:rFonts w:ascii="Calibri" w:hAnsi="Calibri" w:eastAsia="Calibri" w:cs="Times New Roman"/>
          <w:kern w:val="0"/>
          <w:sz w:val="22"/>
          <w:szCs w:val="22"/>
          <w:lang w:eastAsia="zh-CN" w:bidi="ar"/>
        </w:rPr>
        <w:t>dokaz o ukupnom radnom iskustvu (ispis elektroničkog zapisa o radno pravnom statusu /                              e-radna knjižica koja se vodi pri Hrvatskom zavodu za mirovinsko osiguranje)</w:t>
      </w:r>
    </w:p>
    <w:p>
      <w:pPr>
        <w:keepNext w:val="0"/>
        <w:keepLines w:val="0"/>
        <w:widowControl/>
        <w:numPr>
          <w:ilvl w:val="0"/>
          <w:numId w:val="2"/>
        </w:numPr>
        <w:suppressLineNumbers w:val="0"/>
        <w:spacing w:before="0" w:beforeAutospacing="0" w:after="160" w:afterAutospacing="0" w:line="256" w:lineRule="auto"/>
        <w:ind w:left="720" w:right="0" w:hanging="360"/>
        <w:jc w:val="left"/>
      </w:pPr>
      <w:r>
        <w:rPr>
          <w:rFonts w:ascii="Calibri" w:hAnsi="Calibri" w:eastAsia="Calibri" w:cs="Times New Roman"/>
          <w:kern w:val="0"/>
          <w:sz w:val="22"/>
          <w:szCs w:val="22"/>
          <w:lang w:eastAsia="zh-CN" w:bidi="ar"/>
        </w:rPr>
        <w:t>dokaz o položenom stručnom ispitu (preslika potvrde o položenom stručnom ispitu – ukoliko je primjenjivo).</w:t>
      </w: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 xml:space="preserve"> </w:t>
      </w: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Na natječaj se mogu prijaviti i kandidati koji nemaju položen stručni ispit uz uvjet da isti polože u zakonskom roku, uz iznimke propisane člankom 258. Zakona o socijalnoj skrbi („Narodne novine“ broj 18/22, 46/22, 119/22, 71/23 i 156/23 - dalje u tekstu: Zakon).</w:t>
      </w: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 xml:space="preserve"> </w:t>
      </w: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 xml:space="preserve"> </w:t>
      </w: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Ne može se primiti u radni odnos osoba za koju postoje zapreke za zasnivanje radnog odnosa sukladno članku 261. Zakona.</w:t>
      </w: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Prije sklapanja ugovora o radu s odabranim kandidatom, poslodavac će po službenoj dužnosti pribaviti dokaz da  ista nije osuđena za kaznena djela ili za prekršaj iz članka 261. Zakona, te da se protiv nje pred nadležnim sudom ne vodi postupak iz stavka 1. točke 4. ovoga članka.</w:t>
      </w: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 xml:space="preserve"> </w:t>
      </w: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 xml:space="preserve">Kandidat koji ostvaruje pravo prednosti pri zapošljavanju prema posebnim propisima dužan je u prijavi na natječaj pozvati se na to pravo i ima prednost u odnosu na ostale kandidate samo pod jednakim uvjetima. Da bi ostvario pravo prednosti prilikom zapošljavanja, kandidat koji ispunjava uvjete za ostvarivanje tog prava, dužan je uz prijavu na natječaj priložiti sve dokaze o ispunjavanju uvjeta iz natječaja, kao i rješenje odnosno potvrdu o priznatom statusu, te dokaz iz kojeg je vidljivo na koji način je prestao radni odnos kod posljednjeg poslodavca (ugovor, rješenje, odluka i sl.).   Kandidat koji se poziva  na  pravo prednosti pri zapošljavanju na temelju Zakona o hrvatskim braniteljima iz Domovinskog rata i članovima njihovih obitelji, dužan je, osim dokaza o ispunjavanju traženih uvjeta natječaja, dostaviti i dokaze iz članka 103. Zakona o hrvatskim braniteljima iz Domovinskog rata i članovima njihovih obitelji. Dokazi potrebni za ostvarivanje prava prednosti pri zapošljavanju objavljeni su na sljedećoj poveznici: </w:t>
      </w:r>
      <w:r>
        <w:rPr>
          <w:rFonts w:ascii="Calibri" w:hAnsi="Calibri" w:eastAsia="Calibri" w:cs="Times New Roman"/>
          <w:kern w:val="0"/>
          <w:sz w:val="22"/>
          <w:szCs w:val="22"/>
          <w:lang w:eastAsia="zh-CN" w:bidi="ar"/>
        </w:rPr>
        <w:fldChar w:fldCharType="begin"/>
      </w:r>
      <w:r>
        <w:rPr>
          <w:rFonts w:ascii="Calibri" w:hAnsi="Calibri" w:eastAsia="Calibri" w:cs="Times New Roman"/>
          <w:kern w:val="0"/>
          <w:sz w:val="22"/>
          <w:szCs w:val="22"/>
          <w:lang w:eastAsia="zh-CN" w:bidi="ar"/>
        </w:rPr>
        <w:instrText xml:space="preserve"> HYPERLINK "https://branitelji.gov.hr/zaposljavanje-u-drzavnoj-sluzbi/843" </w:instrText>
      </w:r>
      <w:r>
        <w:rPr>
          <w:rFonts w:ascii="Calibri" w:hAnsi="Calibri" w:eastAsia="Calibri" w:cs="Times New Roman"/>
          <w:kern w:val="0"/>
          <w:sz w:val="22"/>
          <w:szCs w:val="22"/>
          <w:lang w:eastAsia="zh-CN" w:bidi="ar"/>
        </w:rPr>
        <w:fldChar w:fldCharType="separate"/>
      </w:r>
      <w:r>
        <w:rPr>
          <w:rStyle w:val="5"/>
          <w:u w:val="single"/>
        </w:rPr>
        <w:t>https://branitelji.gov.hr/zaposljavanje-u-drzavnoj-sluzbi/843</w:t>
      </w:r>
      <w:r>
        <w:rPr>
          <w:rFonts w:ascii="Calibri" w:hAnsi="Calibri" w:eastAsia="Calibri" w:cs="Times New Roman"/>
          <w:kern w:val="0"/>
          <w:sz w:val="22"/>
          <w:szCs w:val="22"/>
          <w:lang w:eastAsia="zh-CN" w:bidi="ar"/>
        </w:rPr>
        <w:fldChar w:fldCharType="end"/>
      </w:r>
      <w:r>
        <w:rPr>
          <w:rFonts w:ascii="Calibri" w:hAnsi="Calibri" w:eastAsia="Calibri" w:cs="Times New Roman"/>
          <w:kern w:val="0"/>
          <w:sz w:val="22"/>
          <w:szCs w:val="22"/>
          <w:lang w:eastAsia="zh-CN" w:bidi="ar"/>
        </w:rPr>
        <w:t xml:space="preserve"> .</w:t>
      </w:r>
    </w:p>
    <w:p>
      <w:pPr>
        <w:keepNext w:val="0"/>
        <w:keepLines w:val="0"/>
        <w:widowControl/>
        <w:suppressLineNumbers w:val="0"/>
        <w:spacing w:before="0" w:beforeAutospacing="0" w:after="160" w:afterAutospacing="0" w:line="256" w:lineRule="auto"/>
        <w:ind w:left="0" w:right="0"/>
        <w:jc w:val="left"/>
        <w:rPr>
          <w:b/>
          <w:bCs w:val="0"/>
        </w:rPr>
      </w:pPr>
      <w:r>
        <w:rPr>
          <w:rFonts w:ascii="Calibri" w:hAnsi="Calibri" w:eastAsia="Calibri" w:cs="Times New Roman"/>
          <w:b/>
          <w:bCs w:val="0"/>
          <w:kern w:val="0"/>
          <w:sz w:val="22"/>
          <w:szCs w:val="22"/>
          <w:lang w:eastAsia="zh-CN" w:bidi="ar"/>
        </w:rPr>
        <w:t xml:space="preserve"> </w:t>
      </w:r>
    </w:p>
    <w:p>
      <w:pPr>
        <w:keepNext w:val="0"/>
        <w:keepLines w:val="0"/>
        <w:widowControl/>
        <w:suppressLineNumbers w:val="0"/>
        <w:spacing w:before="0" w:beforeAutospacing="0" w:after="160" w:afterAutospacing="0" w:line="256" w:lineRule="auto"/>
        <w:ind w:left="0" w:right="0"/>
        <w:jc w:val="left"/>
        <w:rPr>
          <w:b/>
          <w:bCs w:val="0"/>
        </w:rPr>
      </w:pPr>
      <w:r>
        <w:rPr>
          <w:rFonts w:ascii="Calibri" w:hAnsi="Calibri" w:eastAsia="Calibri" w:cs="Times New Roman"/>
          <w:b/>
          <w:bCs w:val="0"/>
          <w:kern w:val="0"/>
          <w:sz w:val="22"/>
          <w:szCs w:val="22"/>
          <w:lang w:eastAsia="zh-CN" w:bidi="ar"/>
        </w:rPr>
        <w:t>Prijave na natječaj s dokazima o ispunjavanju propisanih uvjeta dostavljaju se u roku od osam dana od dana objave natječaja na adresu: CENTAR ZA PRUŽANJE USLUGA U ZAJEDNICI TIĆ RIJEKA, Beli Kamik 11, Rijeka, s naznakom "NATJEČAJ ZA RADNO MJESTO -</w:t>
      </w:r>
      <w:r>
        <w:rPr>
          <w:rFonts w:hint="default" w:ascii="Calibri" w:hAnsi="Calibri" w:eastAsia="Calibri" w:cs="Times New Roman"/>
          <w:b/>
          <w:bCs w:val="0"/>
          <w:kern w:val="0"/>
          <w:sz w:val="22"/>
          <w:szCs w:val="22"/>
          <w:lang w:val="hr-HR" w:eastAsia="zh-CN" w:bidi="ar"/>
        </w:rPr>
        <w:t xml:space="preserve">SOCIJALNI RADNIK </w:t>
      </w:r>
      <w:r>
        <w:rPr>
          <w:rFonts w:ascii="Calibri" w:hAnsi="Calibri" w:eastAsia="Calibri" w:cs="Times New Roman"/>
          <w:b/>
          <w:bCs w:val="0"/>
          <w:kern w:val="0"/>
          <w:sz w:val="22"/>
          <w:szCs w:val="22"/>
          <w:lang w:eastAsia="zh-CN" w:bidi="ar"/>
        </w:rPr>
        <w:t xml:space="preserve">".  </w:t>
      </w: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Podnošenjem prijave na natječaj kandidati su suglasni da Centar Tić Rijeka kao voditelj zbirke osobnih podataka može prikupljati, koristiti i dalje obrađivati njihove osobne podatke isključivo u svrhu provedbe natječajnog postupka sukladno propisima koji uređuju zaštitu osobnih podataka.</w:t>
      </w: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Nepotpune i nepravodobne prijave neće se razmatrati.</w:t>
      </w: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 xml:space="preserve">O rezultatima izbora po ovom natječaju kandidati će biti obaviješteni u zakonskom roku.                 </w:t>
      </w: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Centar Tić Rijeka zadržava pravo poništiti ovaj natječaj.</w:t>
      </w: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 xml:space="preserve"> </w:t>
      </w: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 xml:space="preserve"> </w:t>
      </w: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 xml:space="preserve">         </w:t>
      </w:r>
    </w:p>
    <w:p>
      <w:pPr>
        <w:keepNext w:val="0"/>
        <w:keepLines w:val="0"/>
        <w:widowControl/>
        <w:suppressLineNumbers w:val="0"/>
        <w:spacing w:before="0" w:beforeAutospacing="0" w:after="160" w:afterAutospacing="0" w:line="256" w:lineRule="auto"/>
        <w:ind w:left="0" w:right="0"/>
        <w:jc w:val="left"/>
      </w:pPr>
      <w:r>
        <w:rPr>
          <w:rFonts w:ascii="Calibri" w:hAnsi="Calibri" w:eastAsia="Calibri" w:cs="Times New Roman"/>
          <w:kern w:val="0"/>
          <w:sz w:val="22"/>
          <w:szCs w:val="22"/>
          <w:lang w:eastAsia="zh-CN" w:bidi="ar"/>
        </w:rPr>
        <w:t xml:space="preserve"> </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0" w:type="dxa"/>
          <w:bottom w:w="0" w:type="dxa"/>
          <w:right w:w="100" w:type="dxa"/>
        </w:tblCellMar>
      </w:tblPr>
      <w:tblGrid>
        <w:gridCol w:w="3010"/>
        <w:gridCol w:w="1486"/>
        <w:gridCol w:w="4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3200" w:type="dxa"/>
            <w:shd w:val="clear" w:color="auto" w:fill="auto"/>
            <w:tcMar>
              <w:left w:w="0" w:type="dxa"/>
              <w:right w:w="0" w:type="dxa"/>
            </w:tcMar>
            <w:vAlign w:val="top"/>
          </w:tcPr>
          <w:p>
            <w:pPr>
              <w:keepNext w:val="0"/>
              <w:keepLines w:val="0"/>
              <w:widowControl/>
              <w:suppressLineNumbers w:val="0"/>
              <w:spacing w:before="0" w:beforeAutospacing="0" w:after="160" w:afterAutospacing="0" w:line="256" w:lineRule="auto"/>
              <w:ind w:left="0" w:right="0"/>
              <w:jc w:val="left"/>
            </w:pPr>
          </w:p>
        </w:tc>
        <w:tc>
          <w:tcPr>
            <w:tcW w:w="1580" w:type="dxa"/>
            <w:shd w:val="clear" w:color="auto" w:fill="auto"/>
            <w:tcMar>
              <w:left w:w="0" w:type="dxa"/>
              <w:right w:w="0" w:type="dxa"/>
            </w:tcMar>
            <w:vAlign w:val="top"/>
          </w:tcPr>
          <w:p>
            <w:pPr>
              <w:keepNext w:val="0"/>
              <w:keepLines w:val="0"/>
              <w:widowControl/>
              <w:suppressLineNumbers w:val="0"/>
              <w:spacing w:before="0" w:beforeAutospacing="0" w:after="160" w:afterAutospacing="0" w:line="256" w:lineRule="auto"/>
              <w:ind w:left="0" w:right="0"/>
              <w:jc w:val="left"/>
            </w:pPr>
          </w:p>
        </w:tc>
        <w:tc>
          <w:tcPr>
            <w:tcW w:w="4800" w:type="dxa"/>
            <w:shd w:val="clear" w:color="auto" w:fill="auto"/>
            <w:tcMar>
              <w:left w:w="0" w:type="dxa"/>
              <w:right w:w="0" w:type="dxa"/>
            </w:tcMar>
            <w:vAlign w:val="top"/>
          </w:tcPr>
          <w:p>
            <w:pPr>
              <w:keepNext w:val="0"/>
              <w:keepLines w:val="0"/>
              <w:widowControl/>
              <w:suppressLineNumbers w:val="0"/>
              <w:spacing w:before="0" w:beforeAutospacing="0" w:after="160" w:afterAutospacing="0" w:line="256" w:lineRule="auto"/>
              <w:ind w:left="0" w:right="0"/>
              <w:jc w:val="left"/>
              <w:rPr>
                <w:b/>
                <w:bCs w:val="0"/>
              </w:rPr>
            </w:pPr>
            <w:r>
              <w:rPr>
                <w:rFonts w:ascii="Calibri" w:hAnsi="Calibri" w:eastAsia="Calibri" w:cs="Times New Roman"/>
                <w:b/>
                <w:bCs w:val="0"/>
                <w:kern w:val="0"/>
                <w:sz w:val="22"/>
                <w:szCs w:val="22"/>
                <w:lang w:val="en-US" w:eastAsia="zh-CN" w:bidi="ar"/>
              </w:rPr>
              <w:t>RAVNATELJ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0" w:type="dxa"/>
            <w:bottom w:w="0" w:type="dxa"/>
            <w:right w:w="100" w:type="dxa"/>
          </w:tblCellMar>
        </w:tblPrEx>
        <w:tc>
          <w:tcPr>
            <w:tcW w:w="3200" w:type="dxa"/>
            <w:shd w:val="clear" w:color="auto" w:fill="auto"/>
            <w:tcMar>
              <w:left w:w="0" w:type="dxa"/>
              <w:right w:w="0" w:type="dxa"/>
            </w:tcMar>
            <w:vAlign w:val="top"/>
          </w:tcPr>
          <w:p>
            <w:pPr>
              <w:keepNext w:val="0"/>
              <w:keepLines w:val="0"/>
              <w:widowControl/>
              <w:suppressLineNumbers w:val="0"/>
              <w:spacing w:before="0" w:beforeAutospacing="0" w:after="160" w:afterAutospacing="0" w:line="256" w:lineRule="auto"/>
              <w:ind w:left="0" w:right="0"/>
              <w:jc w:val="left"/>
            </w:pPr>
          </w:p>
        </w:tc>
        <w:tc>
          <w:tcPr>
            <w:tcW w:w="1580" w:type="dxa"/>
            <w:shd w:val="clear" w:color="auto" w:fill="auto"/>
            <w:tcMar>
              <w:left w:w="0" w:type="dxa"/>
              <w:right w:w="0" w:type="dxa"/>
            </w:tcMar>
            <w:vAlign w:val="top"/>
          </w:tcPr>
          <w:p>
            <w:pPr>
              <w:keepNext w:val="0"/>
              <w:keepLines w:val="0"/>
              <w:widowControl/>
              <w:suppressLineNumbers w:val="0"/>
              <w:spacing w:before="0" w:beforeAutospacing="0" w:after="160" w:afterAutospacing="0" w:line="256" w:lineRule="auto"/>
              <w:ind w:left="0" w:right="0"/>
              <w:jc w:val="left"/>
            </w:pPr>
          </w:p>
        </w:tc>
        <w:tc>
          <w:tcPr>
            <w:tcW w:w="4800" w:type="dxa"/>
            <w:shd w:val="clear" w:color="auto" w:fill="auto"/>
            <w:tcMar>
              <w:left w:w="0" w:type="dxa"/>
              <w:right w:w="0" w:type="dxa"/>
            </w:tcMar>
            <w:vAlign w:val="top"/>
          </w:tcPr>
          <w:p>
            <w:pPr>
              <w:keepNext w:val="0"/>
              <w:keepLines w:val="0"/>
              <w:widowControl/>
              <w:suppressLineNumbers w:val="0"/>
              <w:spacing w:before="0" w:beforeAutospacing="0" w:after="160" w:afterAutospacing="0" w:line="256" w:lineRule="auto"/>
              <w:ind w:left="0" w:right="0"/>
              <w:jc w:val="left"/>
              <w:rPr>
                <w:b/>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0" w:type="dxa"/>
            <w:bottom w:w="0" w:type="dxa"/>
            <w:right w:w="100" w:type="dxa"/>
          </w:tblCellMar>
        </w:tblPrEx>
        <w:tc>
          <w:tcPr>
            <w:tcW w:w="3200" w:type="dxa"/>
            <w:shd w:val="clear" w:color="auto" w:fill="auto"/>
            <w:tcMar>
              <w:left w:w="0" w:type="dxa"/>
              <w:right w:w="0" w:type="dxa"/>
            </w:tcMar>
            <w:vAlign w:val="top"/>
          </w:tcPr>
          <w:p>
            <w:pPr>
              <w:keepNext w:val="0"/>
              <w:keepLines w:val="0"/>
              <w:widowControl/>
              <w:suppressLineNumbers w:val="0"/>
              <w:spacing w:before="0" w:beforeAutospacing="0" w:after="160" w:afterAutospacing="0" w:line="256" w:lineRule="auto"/>
              <w:ind w:left="0" w:right="0"/>
              <w:jc w:val="left"/>
            </w:pPr>
          </w:p>
        </w:tc>
        <w:tc>
          <w:tcPr>
            <w:tcW w:w="1580" w:type="dxa"/>
            <w:shd w:val="clear" w:color="auto" w:fill="auto"/>
            <w:tcMar>
              <w:left w:w="0" w:type="dxa"/>
              <w:right w:w="0" w:type="dxa"/>
            </w:tcMar>
            <w:vAlign w:val="top"/>
          </w:tcPr>
          <w:p>
            <w:pPr>
              <w:keepNext w:val="0"/>
              <w:keepLines w:val="0"/>
              <w:widowControl/>
              <w:suppressLineNumbers w:val="0"/>
              <w:spacing w:before="0" w:beforeAutospacing="0" w:after="160" w:afterAutospacing="0" w:line="256" w:lineRule="auto"/>
              <w:ind w:left="0" w:right="0"/>
              <w:jc w:val="left"/>
            </w:pPr>
          </w:p>
        </w:tc>
        <w:tc>
          <w:tcPr>
            <w:tcW w:w="4800" w:type="dxa"/>
            <w:shd w:val="clear" w:color="auto" w:fill="auto"/>
            <w:tcMar>
              <w:left w:w="0" w:type="dxa"/>
              <w:right w:w="0" w:type="dxa"/>
            </w:tcMar>
            <w:vAlign w:val="top"/>
          </w:tcPr>
          <w:p>
            <w:pPr>
              <w:keepNext w:val="0"/>
              <w:keepLines w:val="0"/>
              <w:widowControl/>
              <w:suppressLineNumbers w:val="0"/>
              <w:spacing w:before="0" w:beforeAutospacing="0" w:after="160" w:afterAutospacing="0" w:line="256" w:lineRule="auto"/>
              <w:ind w:left="0" w:right="0"/>
              <w:jc w:val="left"/>
              <w:rPr>
                <w:b/>
                <w:bCs w:val="0"/>
              </w:rPr>
            </w:pPr>
            <w:r>
              <w:rPr>
                <w:rFonts w:ascii="Calibri" w:hAnsi="Calibri" w:eastAsia="Calibri" w:cs="Times New Roman"/>
                <w:b/>
                <w:bCs w:val="0"/>
                <w:kern w:val="0"/>
                <w:sz w:val="22"/>
                <w:szCs w:val="22"/>
                <w:lang w:val="en-US" w:eastAsia="zh-CN" w:bidi="ar"/>
              </w:rPr>
              <w:t>Dario Kulišić, prof.psih.</w:t>
            </w:r>
          </w:p>
        </w:tc>
      </w:tr>
    </w:tbl>
    <w:p>
      <w:pPr>
        <w:rPr>
          <w:rFonts w:hint="default"/>
          <w:b/>
          <w:lang w:val="hr-HR"/>
        </w:rPr>
      </w:pPr>
    </w:p>
    <w:p>
      <w:pPr>
        <w:ind w:left="708" w:firstLine="708"/>
        <w:rPr>
          <w:b/>
        </w:rPr>
      </w:pPr>
    </w:p>
    <w:p>
      <w:pPr>
        <w:rPr>
          <w:b/>
        </w:rPr>
      </w:pPr>
    </w:p>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94713"/>
    <w:multiLevelType w:val="multilevel"/>
    <w:tmpl w:val="06E94713"/>
    <w:lvl w:ilvl="0" w:tentative="0">
      <w:start w:val="4"/>
      <w:numFmt w:val="bullet"/>
      <w:lvlText w:val="-"/>
      <w:lvlJc w:val="left"/>
      <w:pPr>
        <w:tabs>
          <w:tab w:val="left" w:pos="720"/>
        </w:tabs>
        <w:ind w:left="720" w:hanging="360"/>
      </w:pPr>
      <w:rPr>
        <w:rFonts w:hint="default" w:ascii="Arial" w:hAnsi="Arial" w:eastAsia="Times New Roman" w:cs="Aria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309481B0"/>
    <w:multiLevelType w:val="multilevel"/>
    <w:tmpl w:val="309481B0"/>
    <w:lvl w:ilvl="0" w:tentative="0">
      <w:start w:val="8"/>
      <w:numFmt w:val="bullet"/>
      <w:lvlText w:val="-"/>
      <w:lvlJc w:val="left"/>
      <w:pPr>
        <w:ind w:left="720" w:hanging="360"/>
      </w:pPr>
      <w:rPr>
        <w:rFonts w:ascii="Arial" w:hAnsi="Arial" w:eastAsia="Times New Roman" w:cs="Arial"/>
      </w:rPr>
    </w:lvl>
    <w:lvl w:ilvl="1" w:tentative="0">
      <w:start w:val="1"/>
      <w:numFmt w:val="bullet"/>
      <w:lvlText w:val="o"/>
      <w:lvlJc w:val="left"/>
      <w:pPr>
        <w:ind w:left="1440" w:hanging="360"/>
      </w:pPr>
      <w:rPr>
        <w:rFonts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35"/>
    <w:rsid w:val="000235C0"/>
    <w:rsid w:val="00030037"/>
    <w:rsid w:val="00030DA9"/>
    <w:rsid w:val="00037F4C"/>
    <w:rsid w:val="00065051"/>
    <w:rsid w:val="000762B8"/>
    <w:rsid w:val="000843B4"/>
    <w:rsid w:val="000A3027"/>
    <w:rsid w:val="000C57F8"/>
    <w:rsid w:val="000D5EC9"/>
    <w:rsid w:val="00103640"/>
    <w:rsid w:val="00105CE1"/>
    <w:rsid w:val="00126E15"/>
    <w:rsid w:val="00135E8A"/>
    <w:rsid w:val="0013686F"/>
    <w:rsid w:val="001B3E35"/>
    <w:rsid w:val="001C6660"/>
    <w:rsid w:val="001C7489"/>
    <w:rsid w:val="001F162D"/>
    <w:rsid w:val="00210BA2"/>
    <w:rsid w:val="00210D85"/>
    <w:rsid w:val="0022343D"/>
    <w:rsid w:val="00225AD7"/>
    <w:rsid w:val="00251A1C"/>
    <w:rsid w:val="002551DE"/>
    <w:rsid w:val="00261F3D"/>
    <w:rsid w:val="00266BD0"/>
    <w:rsid w:val="00293320"/>
    <w:rsid w:val="002950E1"/>
    <w:rsid w:val="002A1201"/>
    <w:rsid w:val="002E3E2A"/>
    <w:rsid w:val="002F162F"/>
    <w:rsid w:val="003203B4"/>
    <w:rsid w:val="003476A8"/>
    <w:rsid w:val="0036342D"/>
    <w:rsid w:val="003B3D6E"/>
    <w:rsid w:val="003B7C84"/>
    <w:rsid w:val="003D2D40"/>
    <w:rsid w:val="004010A1"/>
    <w:rsid w:val="0042116F"/>
    <w:rsid w:val="00432CE9"/>
    <w:rsid w:val="00446D46"/>
    <w:rsid w:val="00465F27"/>
    <w:rsid w:val="0048770D"/>
    <w:rsid w:val="00490392"/>
    <w:rsid w:val="004A014F"/>
    <w:rsid w:val="004C44CA"/>
    <w:rsid w:val="004C5127"/>
    <w:rsid w:val="004D5B6D"/>
    <w:rsid w:val="004E3C45"/>
    <w:rsid w:val="004F3B07"/>
    <w:rsid w:val="004F3E45"/>
    <w:rsid w:val="0052324B"/>
    <w:rsid w:val="005346E9"/>
    <w:rsid w:val="00545B0D"/>
    <w:rsid w:val="00561D39"/>
    <w:rsid w:val="00566DDB"/>
    <w:rsid w:val="005813D5"/>
    <w:rsid w:val="00593789"/>
    <w:rsid w:val="005A0997"/>
    <w:rsid w:val="005B7AFF"/>
    <w:rsid w:val="005C1725"/>
    <w:rsid w:val="005D0B71"/>
    <w:rsid w:val="005F314E"/>
    <w:rsid w:val="005F434F"/>
    <w:rsid w:val="006079AA"/>
    <w:rsid w:val="00610F1F"/>
    <w:rsid w:val="00642DC4"/>
    <w:rsid w:val="006473AB"/>
    <w:rsid w:val="006633C9"/>
    <w:rsid w:val="006662EF"/>
    <w:rsid w:val="00673D85"/>
    <w:rsid w:val="00677FC8"/>
    <w:rsid w:val="00681915"/>
    <w:rsid w:val="00695813"/>
    <w:rsid w:val="006A3DD7"/>
    <w:rsid w:val="006A4C60"/>
    <w:rsid w:val="006B619C"/>
    <w:rsid w:val="006C5F88"/>
    <w:rsid w:val="006D515D"/>
    <w:rsid w:val="006E7443"/>
    <w:rsid w:val="00714EE5"/>
    <w:rsid w:val="00721167"/>
    <w:rsid w:val="007259C6"/>
    <w:rsid w:val="00780D80"/>
    <w:rsid w:val="0078296A"/>
    <w:rsid w:val="0079262D"/>
    <w:rsid w:val="00795A44"/>
    <w:rsid w:val="007A1E4B"/>
    <w:rsid w:val="007A587C"/>
    <w:rsid w:val="007B3A9D"/>
    <w:rsid w:val="007C039C"/>
    <w:rsid w:val="007C4E72"/>
    <w:rsid w:val="007C5CE9"/>
    <w:rsid w:val="007C668F"/>
    <w:rsid w:val="007C756D"/>
    <w:rsid w:val="007D0CF6"/>
    <w:rsid w:val="007D39F5"/>
    <w:rsid w:val="007F0162"/>
    <w:rsid w:val="007F10C0"/>
    <w:rsid w:val="007F2E66"/>
    <w:rsid w:val="007F75F2"/>
    <w:rsid w:val="008054EE"/>
    <w:rsid w:val="008121FB"/>
    <w:rsid w:val="008307C6"/>
    <w:rsid w:val="00832A57"/>
    <w:rsid w:val="008572FB"/>
    <w:rsid w:val="008A2055"/>
    <w:rsid w:val="008A3469"/>
    <w:rsid w:val="008C247B"/>
    <w:rsid w:val="008C6334"/>
    <w:rsid w:val="008E27DF"/>
    <w:rsid w:val="0092461C"/>
    <w:rsid w:val="009313BA"/>
    <w:rsid w:val="00942BEF"/>
    <w:rsid w:val="0095685A"/>
    <w:rsid w:val="00964243"/>
    <w:rsid w:val="009A1DD6"/>
    <w:rsid w:val="009B1A6D"/>
    <w:rsid w:val="009D36FC"/>
    <w:rsid w:val="009E68B2"/>
    <w:rsid w:val="009F62FE"/>
    <w:rsid w:val="00A06420"/>
    <w:rsid w:val="00A13EC9"/>
    <w:rsid w:val="00A202FF"/>
    <w:rsid w:val="00A566EF"/>
    <w:rsid w:val="00A93AEE"/>
    <w:rsid w:val="00B02AEE"/>
    <w:rsid w:val="00B44152"/>
    <w:rsid w:val="00B60EF1"/>
    <w:rsid w:val="00B83DD0"/>
    <w:rsid w:val="00B84E2C"/>
    <w:rsid w:val="00B90CC8"/>
    <w:rsid w:val="00BB7E9B"/>
    <w:rsid w:val="00BD0A13"/>
    <w:rsid w:val="00C02BF4"/>
    <w:rsid w:val="00C0464A"/>
    <w:rsid w:val="00C2176F"/>
    <w:rsid w:val="00C242AA"/>
    <w:rsid w:val="00C36F52"/>
    <w:rsid w:val="00C42366"/>
    <w:rsid w:val="00C7595E"/>
    <w:rsid w:val="00C75B64"/>
    <w:rsid w:val="00C775EF"/>
    <w:rsid w:val="00CA7520"/>
    <w:rsid w:val="00CA76E0"/>
    <w:rsid w:val="00CD4F5D"/>
    <w:rsid w:val="00CF386A"/>
    <w:rsid w:val="00D113F9"/>
    <w:rsid w:val="00D34EA7"/>
    <w:rsid w:val="00D81B60"/>
    <w:rsid w:val="00D841B6"/>
    <w:rsid w:val="00D9758E"/>
    <w:rsid w:val="00DE0406"/>
    <w:rsid w:val="00DF4AE7"/>
    <w:rsid w:val="00E11ABA"/>
    <w:rsid w:val="00E179DD"/>
    <w:rsid w:val="00E337DB"/>
    <w:rsid w:val="00E36BBA"/>
    <w:rsid w:val="00E4448B"/>
    <w:rsid w:val="00E53DD6"/>
    <w:rsid w:val="00E60AC6"/>
    <w:rsid w:val="00E806AE"/>
    <w:rsid w:val="00E80F9B"/>
    <w:rsid w:val="00E95A8F"/>
    <w:rsid w:val="00EB1492"/>
    <w:rsid w:val="00ED49A1"/>
    <w:rsid w:val="00ED7463"/>
    <w:rsid w:val="00F07F9D"/>
    <w:rsid w:val="00F119F3"/>
    <w:rsid w:val="00F21C1A"/>
    <w:rsid w:val="00F36051"/>
    <w:rsid w:val="00F40097"/>
    <w:rsid w:val="00F7256F"/>
    <w:rsid w:val="00F77B64"/>
    <w:rsid w:val="00F83A43"/>
    <w:rsid w:val="00F91FE2"/>
    <w:rsid w:val="00F930EB"/>
    <w:rsid w:val="00FA3D36"/>
    <w:rsid w:val="00FB0AC0"/>
    <w:rsid w:val="00FB3DDA"/>
    <w:rsid w:val="00FD1EAE"/>
    <w:rsid w:val="00FF14CF"/>
    <w:rsid w:val="07BF5B10"/>
    <w:rsid w:val="19C35C60"/>
    <w:rsid w:val="35545302"/>
    <w:rsid w:val="3D737AC8"/>
    <w:rsid w:val="47CE0A19"/>
    <w:rsid w:val="5DA77BB2"/>
    <w:rsid w:val="5EE240B6"/>
    <w:rsid w:val="62500B80"/>
    <w:rsid w:val="676E1FC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60" w:line="259" w:lineRule="auto"/>
    </w:pPr>
    <w:rPr>
      <w:rFonts w:asciiTheme="minorHAnsi" w:hAnsiTheme="minorHAnsi" w:eastAsiaTheme="minorHAnsi" w:cstheme="minorBidi"/>
      <w:sz w:val="22"/>
      <w:szCs w:val="22"/>
      <w:lang w:val="hr-HR" w:eastAsia="en-US" w:bidi="ar-SA"/>
    </w:rPr>
  </w:style>
  <w:style w:type="character" w:default="1" w:styleId="2">
    <w:name w:val="Default Paragraph Font"/>
    <w:autoRedefine/>
    <w:unhideWhenUsed/>
    <w:qFormat/>
    <w:uiPriority w:val="1"/>
  </w:style>
  <w:style w:type="table" w:default="1" w:styleId="3">
    <w:name w:val="Normal Table"/>
    <w:autoRedefin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lang w:eastAsia="en-US"/>
    </w:rPr>
    <w:tblPr>
      <w:tblCellMar>
        <w:top w:w="0" w:type="dxa"/>
        <w:left w:w="100" w:type="dxa"/>
        <w:bottom w:w="0" w:type="dxa"/>
        <w:right w:w="100" w:type="dxa"/>
      </w:tblCellMar>
    </w:tblPr>
  </w:style>
  <w:style w:type="character" w:styleId="4">
    <w:name w:val="FollowedHyperlink"/>
    <w:autoRedefine/>
    <w:semiHidden/>
    <w:unhideWhenUsed/>
    <w:qFormat/>
    <w:uiPriority w:val="99"/>
    <w:rPr>
      <w:color w:val="954F72"/>
      <w:u w:val="single"/>
    </w:rPr>
  </w:style>
  <w:style w:type="character" w:styleId="5">
    <w:name w:val="Hyperlink"/>
    <w:basedOn w:val="2"/>
    <w:autoRedefine/>
    <w:unhideWhenUsed/>
    <w:qFormat/>
    <w:uiPriority w:val="99"/>
    <w:rPr>
      <w:color w:val="0563C1" w:themeColor="hyperlink"/>
      <w:u w:val="single"/>
      <w14:textFill>
        <w14:solidFill>
          <w14:schemeClr w14:val="hlink"/>
        </w14:solidFill>
      </w14:textFill>
    </w:rPr>
  </w:style>
  <w:style w:type="paragraph" w:styleId="6">
    <w:name w:val="List Paragraph"/>
    <w:basedOn w:val="1"/>
    <w:autoRedefine/>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Grad Rijeka</Company>
  <Pages>3</Pages>
  <Words>522</Words>
  <Characters>2976</Characters>
  <Lines>24</Lines>
  <Paragraphs>6</Paragraphs>
  <TotalTime>3</TotalTime>
  <ScaleCrop>false</ScaleCrop>
  <LinksUpToDate>false</LinksUpToDate>
  <CharactersWithSpaces>3492</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2024-04-24T11:38:00Z</dcterms:created>
  <dc:creator>Tadejević Tomac Martina</dc:creator>
  <cp:lastModifiedBy>tadejevic-tomac</cp:lastModifiedBy>
  <dcterms:modified xsi:type="dcterms:W3CDTF">2024-04-29T11:42:40Z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D9F684D88510421FA02629911A2E5E9B_12</vt:lpwstr>
  </property>
</Properties>
</file>